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E0675">
      <w:pPr>
        <w:pStyle w:val="4"/>
        <w:bidi w:val="0"/>
        <w:ind w:firstLine="964" w:firstLineChars="200"/>
        <w:jc w:val="both"/>
        <w:rPr>
          <w:rFonts w:hint="eastAsia"/>
          <w:sz w:val="48"/>
          <w:szCs w:val="48"/>
          <w:lang w:eastAsia="zh-CN"/>
        </w:rPr>
      </w:pPr>
      <w:r>
        <w:rPr>
          <w:rFonts w:hint="eastAsia"/>
          <w:sz w:val="48"/>
          <w:szCs w:val="48"/>
          <w:lang w:eastAsia="zh-CN"/>
        </w:rPr>
        <w:t>2024年度益阳师范高等专科学校</w:t>
      </w:r>
    </w:p>
    <w:p w14:paraId="545273B4">
      <w:pPr>
        <w:pStyle w:val="4"/>
        <w:bidi w:val="0"/>
        <w:ind w:firstLine="1928" w:firstLineChars="400"/>
        <w:jc w:val="both"/>
        <w:rPr>
          <w:rFonts w:hint="eastAsia"/>
          <w:sz w:val="48"/>
          <w:szCs w:val="48"/>
          <w:lang w:eastAsia="zh-CN"/>
        </w:rPr>
      </w:pPr>
      <w:r>
        <w:rPr>
          <w:rFonts w:hint="eastAsia"/>
          <w:sz w:val="48"/>
          <w:szCs w:val="48"/>
          <w:lang w:eastAsia="zh-CN"/>
        </w:rPr>
        <w:t>整体支出绩效自评报告</w:t>
      </w:r>
    </w:p>
    <w:p w14:paraId="11650AAC">
      <w:pPr>
        <w:jc w:val="center"/>
        <w:rPr>
          <w:rFonts w:eastAsia="黑体"/>
          <w:szCs w:val="32"/>
        </w:rPr>
      </w:pPr>
    </w:p>
    <w:p w14:paraId="55DCF410">
      <w:pPr>
        <w:jc w:val="center"/>
        <w:rPr>
          <w:rFonts w:eastAsia="黑体"/>
          <w:szCs w:val="32"/>
        </w:rPr>
      </w:pPr>
    </w:p>
    <w:p w14:paraId="3C9BE16B">
      <w:pPr>
        <w:jc w:val="center"/>
        <w:rPr>
          <w:rFonts w:eastAsia="黑体"/>
          <w:szCs w:val="32"/>
        </w:rPr>
      </w:pPr>
    </w:p>
    <w:p w14:paraId="366E3135">
      <w:pPr>
        <w:jc w:val="center"/>
        <w:rPr>
          <w:rFonts w:eastAsia="黑体"/>
          <w:szCs w:val="32"/>
        </w:rPr>
      </w:pPr>
    </w:p>
    <w:p w14:paraId="522D1F1D">
      <w:pPr>
        <w:jc w:val="center"/>
        <w:rPr>
          <w:rFonts w:eastAsia="黑体"/>
          <w:szCs w:val="32"/>
        </w:rPr>
      </w:pPr>
    </w:p>
    <w:p w14:paraId="6B2650AE">
      <w:pPr>
        <w:jc w:val="center"/>
        <w:rPr>
          <w:rFonts w:eastAsia="黑体"/>
          <w:szCs w:val="32"/>
        </w:rPr>
      </w:pPr>
    </w:p>
    <w:p w14:paraId="2CA4DBCE">
      <w:pPr>
        <w:jc w:val="center"/>
        <w:rPr>
          <w:rFonts w:eastAsia="黑体"/>
          <w:szCs w:val="32"/>
        </w:rPr>
      </w:pPr>
    </w:p>
    <w:p w14:paraId="1A928A0C">
      <w:pPr>
        <w:ind w:firstLine="880" w:firstLineChars="200"/>
        <w:jc w:val="center"/>
        <w:rPr>
          <w:rFonts w:eastAsia="黑体"/>
          <w:sz w:val="44"/>
          <w:szCs w:val="44"/>
        </w:rPr>
      </w:pPr>
    </w:p>
    <w:p w14:paraId="29518A79">
      <w:pPr>
        <w:ind w:firstLine="880" w:firstLineChars="200"/>
        <w:jc w:val="center"/>
        <w:rPr>
          <w:rFonts w:eastAsia="黑体"/>
          <w:sz w:val="44"/>
          <w:szCs w:val="44"/>
        </w:rPr>
      </w:pPr>
    </w:p>
    <w:p w14:paraId="2A9396EB">
      <w:pPr>
        <w:ind w:firstLine="880" w:firstLineChars="200"/>
        <w:jc w:val="center"/>
        <w:rPr>
          <w:rFonts w:eastAsia="黑体"/>
          <w:sz w:val="44"/>
          <w:szCs w:val="44"/>
        </w:rPr>
      </w:pPr>
    </w:p>
    <w:p w14:paraId="66273E2A">
      <w:pPr>
        <w:ind w:firstLine="720" w:firstLineChars="200"/>
        <w:rPr>
          <w:rFonts w:hint="eastAsia" w:eastAsia="黑体"/>
          <w:sz w:val="36"/>
          <w:szCs w:val="36"/>
        </w:rPr>
      </w:pPr>
    </w:p>
    <w:p w14:paraId="23B37E11">
      <w:pPr>
        <w:ind w:firstLine="720" w:firstLineChars="200"/>
        <w:rPr>
          <w:rFonts w:hint="eastAsia" w:eastAsia="黑体"/>
          <w:sz w:val="36"/>
          <w:szCs w:val="36"/>
        </w:rPr>
      </w:pPr>
    </w:p>
    <w:p w14:paraId="1265212E">
      <w:pPr>
        <w:rPr>
          <w:rFonts w:hint="eastAsia" w:eastAsia="黑体"/>
          <w:sz w:val="36"/>
          <w:szCs w:val="36"/>
        </w:rPr>
      </w:pPr>
      <w:r>
        <w:rPr>
          <w:rFonts w:hint="eastAsia" w:eastAsia="黑体"/>
          <w:sz w:val="36"/>
          <w:szCs w:val="36"/>
        </w:rPr>
        <w:t>部门（</w:t>
      </w:r>
      <w:r>
        <w:rPr>
          <w:rFonts w:eastAsia="黑体"/>
          <w:sz w:val="36"/>
          <w:szCs w:val="36"/>
        </w:rPr>
        <w:t>单位</w:t>
      </w:r>
      <w:r>
        <w:rPr>
          <w:rFonts w:hint="eastAsia" w:eastAsia="黑体"/>
          <w:sz w:val="36"/>
          <w:szCs w:val="36"/>
        </w:rPr>
        <w:t>）</w:t>
      </w:r>
      <w:r>
        <w:rPr>
          <w:rFonts w:eastAsia="黑体"/>
          <w:sz w:val="36"/>
          <w:szCs w:val="36"/>
        </w:rPr>
        <w:t>名称：</w:t>
      </w:r>
      <w:r>
        <w:rPr>
          <w:rFonts w:eastAsia="黑体"/>
          <w:sz w:val="36"/>
          <w:szCs w:val="36"/>
          <w:u w:val="single"/>
        </w:rPr>
        <w:t>（盖章）</w:t>
      </w:r>
      <w:r>
        <w:rPr>
          <w:rFonts w:hint="eastAsia" w:eastAsia="黑体"/>
          <w:sz w:val="36"/>
          <w:szCs w:val="36"/>
          <w:u w:val="single"/>
          <w:lang w:eastAsia="zh-CN"/>
        </w:rPr>
        <w:t>益阳师范高等专科学校</w:t>
      </w:r>
    </w:p>
    <w:p w14:paraId="6D077802">
      <w:pPr>
        <w:ind w:firstLine="2160" w:firstLineChars="600"/>
        <w:rPr>
          <w:rFonts w:eastAsia="黑体"/>
          <w:sz w:val="36"/>
          <w:szCs w:val="36"/>
          <w:u w:val="single"/>
        </w:rPr>
      </w:pPr>
      <w:r>
        <w:rPr>
          <w:rFonts w:hint="eastAsia" w:eastAsia="黑体"/>
          <w:sz w:val="36"/>
          <w:szCs w:val="36"/>
          <w:lang w:val="en-US" w:eastAsia="zh-CN"/>
        </w:rPr>
        <w:t>2025</w:t>
      </w:r>
      <w:r>
        <w:rPr>
          <w:rFonts w:hint="eastAsia" w:eastAsia="黑体"/>
          <w:sz w:val="36"/>
          <w:szCs w:val="36"/>
        </w:rPr>
        <w:t xml:space="preserve">年  </w:t>
      </w:r>
      <w:r>
        <w:rPr>
          <w:rFonts w:hint="eastAsia" w:eastAsia="黑体"/>
          <w:sz w:val="36"/>
          <w:szCs w:val="36"/>
          <w:lang w:val="en-US" w:eastAsia="zh-CN"/>
        </w:rPr>
        <w:t>4</w:t>
      </w:r>
      <w:r>
        <w:rPr>
          <w:rFonts w:hint="eastAsia" w:eastAsia="黑体"/>
          <w:sz w:val="36"/>
          <w:szCs w:val="36"/>
        </w:rPr>
        <w:t xml:space="preserve"> 月  </w:t>
      </w:r>
      <w:r>
        <w:rPr>
          <w:rFonts w:hint="eastAsia" w:eastAsia="黑体"/>
          <w:sz w:val="36"/>
          <w:szCs w:val="36"/>
          <w:lang w:val="en-US" w:eastAsia="zh-CN"/>
        </w:rPr>
        <w:t>20</w:t>
      </w:r>
      <w:r>
        <w:rPr>
          <w:rFonts w:hint="eastAsia" w:eastAsia="黑体"/>
          <w:sz w:val="36"/>
          <w:szCs w:val="36"/>
        </w:rPr>
        <w:t xml:space="preserve"> 日</w:t>
      </w:r>
    </w:p>
    <w:p w14:paraId="35A81074">
      <w:pPr>
        <w:jc w:val="center"/>
        <w:rPr>
          <w:rFonts w:eastAsia="黑体"/>
          <w:szCs w:val="32"/>
        </w:rPr>
      </w:pPr>
    </w:p>
    <w:p w14:paraId="2FCB3A67">
      <w:pPr>
        <w:jc w:val="center"/>
        <w:rPr>
          <w:rFonts w:hint="eastAsia"/>
          <w:szCs w:val="32"/>
        </w:rPr>
      </w:pPr>
      <w:r>
        <w:rPr>
          <w:rFonts w:hint="eastAsia"/>
          <w:szCs w:val="32"/>
        </w:rPr>
        <w:t xml:space="preserve"> </w:t>
      </w:r>
    </w:p>
    <w:p w14:paraId="7FD0072F">
      <w:pPr>
        <w:jc w:val="center"/>
        <w:rPr>
          <w:rFonts w:hint="eastAsia"/>
          <w:szCs w:val="32"/>
        </w:rPr>
      </w:pPr>
    </w:p>
    <w:p w14:paraId="557E727E">
      <w:pPr>
        <w:jc w:val="center"/>
        <w:rPr>
          <w:rFonts w:hint="eastAsia"/>
          <w:szCs w:val="32"/>
        </w:rPr>
      </w:pPr>
    </w:p>
    <w:p w14:paraId="0DC17F4D">
      <w:pPr>
        <w:pStyle w:val="4"/>
        <w:bidi w:val="0"/>
        <w:ind w:firstLine="883" w:firstLineChars="200"/>
        <w:rPr>
          <w:rFonts w:hint="eastAsia"/>
          <w:b/>
          <w:lang w:eastAsia="zh-CN"/>
        </w:rPr>
      </w:pPr>
      <w:r>
        <w:rPr>
          <w:rFonts w:hint="eastAsia"/>
          <w:b/>
          <w:lang w:eastAsia="zh-CN"/>
        </w:rPr>
        <w:t>2024年度益阳师范高等专科学校</w:t>
      </w:r>
    </w:p>
    <w:p w14:paraId="405E4040">
      <w:pPr>
        <w:pStyle w:val="4"/>
        <w:bidi w:val="0"/>
        <w:ind w:firstLine="1767" w:firstLineChars="400"/>
        <w:rPr>
          <w:rFonts w:hint="eastAsia"/>
          <w:b/>
          <w:lang w:eastAsia="zh-CN"/>
        </w:rPr>
      </w:pPr>
      <w:r>
        <w:rPr>
          <w:rFonts w:hint="eastAsia"/>
          <w:b/>
          <w:lang w:eastAsia="zh-CN"/>
        </w:rPr>
        <w:t>整体支出绩效自评报告</w:t>
      </w:r>
      <w:bookmarkStart w:id="0" w:name="_GoBack"/>
      <w:bookmarkEnd w:id="0"/>
    </w:p>
    <w:p w14:paraId="1ADDE0AE">
      <w:pPr>
        <w:numPr>
          <w:ilvl w:val="0"/>
          <w:numId w:val="1"/>
        </w:numPr>
        <w:spacing w:line="520" w:lineRule="exact"/>
        <w:ind w:firstLine="640" w:firstLineChars="200"/>
        <w:rPr>
          <w:rFonts w:eastAsia="黑体"/>
          <w:szCs w:val="32"/>
        </w:rPr>
      </w:pPr>
      <w:r>
        <w:rPr>
          <w:rFonts w:hint="eastAsia" w:eastAsia="黑体"/>
          <w:szCs w:val="32"/>
        </w:rPr>
        <w:t>部门（单位）</w:t>
      </w:r>
      <w:r>
        <w:rPr>
          <w:rFonts w:eastAsia="黑体"/>
          <w:szCs w:val="32"/>
        </w:rPr>
        <w:t>基本情况</w:t>
      </w:r>
    </w:p>
    <w:p w14:paraId="04D3EEFB">
      <w:pPr>
        <w:adjustRightInd w:val="0"/>
        <w:snapToGrid w:val="0"/>
        <w:spacing w:line="60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 xml:space="preserve">益阳师范高等专科学校是经湖南省人民政府批准、教育部备案的全日制公办普通高等学校。学校脱胎于1551年创建的龙洲书院，筑基于1925年更名的益阳县立龙洲师范学校，起始于1949年10月1日定名的湖南省益阳师范学校。栉风沐雨近百年，学校涵育了优秀的师范文化，形成了成熟的教师培养、培训理念和模式，在湖南师范教育史上有着重要地位。2021年，在百年师范基础上，益阳师范高等专科学校成功获批为专科层次的高等学校，开启全新征程。     </w:t>
      </w:r>
    </w:p>
    <w:p w14:paraId="286497D5">
      <w:pPr>
        <w:adjustRightInd w:val="0"/>
        <w:snapToGrid w:val="0"/>
        <w:spacing w:line="60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学校位于益阳市中心城区益阳大道（西）238号，环境优美，交通便利。学校规划建设用地450余亩，设有附属学校1所，合作实习单位208个。</w:t>
      </w:r>
    </w:p>
    <w:p w14:paraId="341D7E4C">
      <w:pPr>
        <w:adjustRightInd w:val="0"/>
        <w:snapToGrid w:val="0"/>
        <w:spacing w:line="60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学校专业丰富，开设有小学教育、学前教育、早期教育、婴幼儿托育服务与管理、中文、音乐表演、舞蹈表演、环境艺术设计、数字媒体艺术设计、体育教育、社会体育、现代教育技术、工业机器人技术、软件技术、人工智能技术应用、集成电路技术等专业，其中国控类专业5个、非国控专业11个、合作办学专业</w:t>
      </w:r>
      <w:r>
        <w:rPr>
          <w:rFonts w:hint="eastAsia" w:ascii="宋体" w:hAnsi="宋体" w:eastAsia="宋体" w:cs="Times New Roman"/>
          <w:sz w:val="28"/>
          <w:szCs w:val="28"/>
          <w:lang w:val="en-US" w:eastAsia="zh-CN"/>
        </w:rPr>
        <w:t>2</w:t>
      </w:r>
      <w:r>
        <w:rPr>
          <w:rFonts w:hint="eastAsia" w:ascii="宋体" w:hAnsi="宋体" w:eastAsia="宋体" w:cs="Times New Roman"/>
          <w:sz w:val="28"/>
          <w:szCs w:val="28"/>
          <w:lang w:eastAsia="zh-CN"/>
        </w:rPr>
        <w:t>个，构建了以师范类专业为主体、艺术设计类与信息制造类专业为两翼的“一体两翼”专业建设新格局。</w:t>
      </w:r>
    </w:p>
    <w:p w14:paraId="370098C5">
      <w:pPr>
        <w:adjustRightInd w:val="0"/>
        <w:snapToGrid w:val="0"/>
        <w:spacing w:line="60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学校</w:t>
      </w:r>
      <w:r>
        <w:rPr>
          <w:rFonts w:hint="eastAsia" w:ascii="宋体" w:hAnsi="宋体" w:eastAsia="宋体" w:cs="Times New Roman"/>
          <w:sz w:val="28"/>
          <w:szCs w:val="28"/>
          <w:lang w:val="en-US" w:eastAsia="zh-CN"/>
        </w:rPr>
        <w:t>治理体系完善</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办学</w:t>
      </w:r>
      <w:r>
        <w:rPr>
          <w:rFonts w:hint="eastAsia" w:ascii="宋体" w:hAnsi="宋体" w:eastAsia="宋体" w:cs="Times New Roman"/>
          <w:sz w:val="28"/>
          <w:szCs w:val="28"/>
          <w:lang w:eastAsia="zh-CN"/>
        </w:rPr>
        <w:t>经验丰富，</w:t>
      </w:r>
      <w:r>
        <w:rPr>
          <w:rFonts w:hint="eastAsia" w:ascii="宋体" w:hAnsi="宋体" w:eastAsia="宋体" w:cs="Times New Roman"/>
          <w:sz w:val="28"/>
          <w:szCs w:val="28"/>
          <w:lang w:val="en-US" w:eastAsia="zh-CN"/>
        </w:rPr>
        <w:t>坚持</w:t>
      </w:r>
      <w:r>
        <w:rPr>
          <w:rFonts w:hint="eastAsia" w:ascii="宋体" w:hAnsi="宋体" w:eastAsia="宋体" w:cs="Times New Roman"/>
          <w:sz w:val="28"/>
          <w:szCs w:val="28"/>
          <w:lang w:eastAsia="zh-CN"/>
        </w:rPr>
        <w:t>实施“产教融合”的人才培养模式，近</w:t>
      </w:r>
      <w:r>
        <w:rPr>
          <w:rFonts w:hint="eastAsia" w:ascii="宋体" w:hAnsi="宋体" w:eastAsia="宋体" w:cs="Times New Roman"/>
          <w:sz w:val="28"/>
          <w:szCs w:val="28"/>
          <w:lang w:val="en-US" w:eastAsia="zh-CN"/>
        </w:rPr>
        <w:t>两年</w:t>
      </w:r>
      <w:r>
        <w:rPr>
          <w:rFonts w:hint="eastAsia" w:ascii="宋体" w:hAnsi="宋体" w:eastAsia="宋体" w:cs="Times New Roman"/>
          <w:sz w:val="28"/>
          <w:szCs w:val="28"/>
          <w:lang w:eastAsia="zh-CN"/>
        </w:rPr>
        <w:t>学校获批全国高等学校“机器人+”产教融合基地培育建设单位；参加首届全国职业生涯规划大赛获教育部“优秀组织奖”，参加全省“楚怡杯”竞赛获得</w:t>
      </w:r>
      <w:r>
        <w:rPr>
          <w:rFonts w:hint="eastAsia" w:ascii="宋体" w:hAnsi="宋体" w:eastAsia="宋体" w:cs="Times New Roman"/>
          <w:sz w:val="28"/>
          <w:szCs w:val="28"/>
          <w:lang w:val="en-US" w:eastAsia="zh-CN"/>
        </w:rPr>
        <w:t>40余</w:t>
      </w:r>
      <w:r>
        <w:rPr>
          <w:rFonts w:hint="eastAsia" w:ascii="宋体" w:hAnsi="宋体" w:eastAsia="宋体" w:cs="Times New Roman"/>
          <w:sz w:val="28"/>
          <w:szCs w:val="28"/>
          <w:lang w:eastAsia="zh-CN"/>
        </w:rPr>
        <w:t>个奖项，参加湖南省第九届大学生学习贯彻习近平新时代中国特色社会主义思想暨思想政治理论课研究性学习成果展示竞赛获得省奖2项；在第16届中国大学生舞龙舞狮比赛中，益师舞狮队获得女子北狮自选套路与女子北狮规定套路“双冠”、乙组女子团体总分第一名。</w:t>
      </w:r>
    </w:p>
    <w:p w14:paraId="0633316C">
      <w:pPr>
        <w:adjustRightInd w:val="0"/>
        <w:snapToGrid w:val="0"/>
        <w:spacing w:line="60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学校坚持人才强校，打造了一支素质优良、结构合理、专兼结合的师资队伍。学校现有教职工3</w:t>
      </w:r>
      <w:r>
        <w:rPr>
          <w:rFonts w:hint="eastAsia" w:ascii="宋体" w:hAnsi="宋体" w:eastAsia="宋体" w:cs="Times New Roman"/>
          <w:sz w:val="28"/>
          <w:szCs w:val="28"/>
          <w:lang w:val="en-US" w:eastAsia="zh-CN"/>
        </w:rPr>
        <w:t>54</w:t>
      </w:r>
      <w:r>
        <w:rPr>
          <w:rFonts w:hint="eastAsia" w:ascii="宋体" w:hAnsi="宋体" w:eastAsia="宋体" w:cs="Times New Roman"/>
          <w:sz w:val="28"/>
          <w:szCs w:val="28"/>
          <w:lang w:eastAsia="zh-CN"/>
        </w:rPr>
        <w:t>人，其中教授</w:t>
      </w:r>
      <w:r>
        <w:rPr>
          <w:rFonts w:hint="eastAsia" w:ascii="宋体" w:hAnsi="宋体" w:eastAsia="宋体" w:cs="Times New Roman"/>
          <w:sz w:val="28"/>
          <w:szCs w:val="28"/>
          <w:lang w:val="en-US" w:eastAsia="zh-CN"/>
        </w:rPr>
        <w:t>9</w:t>
      </w:r>
      <w:r>
        <w:rPr>
          <w:rFonts w:hint="eastAsia" w:ascii="宋体" w:hAnsi="宋体" w:eastAsia="宋体" w:cs="Times New Roman"/>
          <w:sz w:val="28"/>
          <w:szCs w:val="28"/>
          <w:lang w:eastAsia="zh-CN"/>
        </w:rPr>
        <w:t>名，具有副教授（副高级）职称</w:t>
      </w:r>
      <w:r>
        <w:rPr>
          <w:rFonts w:hint="eastAsia" w:ascii="宋体" w:hAnsi="宋体" w:eastAsia="宋体" w:cs="Times New Roman"/>
          <w:sz w:val="28"/>
          <w:szCs w:val="28"/>
          <w:lang w:val="en-US" w:eastAsia="zh-CN"/>
        </w:rPr>
        <w:t>70</w:t>
      </w:r>
      <w:r>
        <w:rPr>
          <w:rFonts w:hint="eastAsia" w:ascii="宋体" w:hAnsi="宋体" w:eastAsia="宋体" w:cs="Times New Roman"/>
          <w:sz w:val="28"/>
          <w:szCs w:val="28"/>
          <w:lang w:eastAsia="zh-CN"/>
        </w:rPr>
        <w:t>人，省级优秀教师、省级优秀班主任、省特级教师5人，市级名校长、名师、学科带头人和骨干教师23人，</w:t>
      </w:r>
      <w:r>
        <w:rPr>
          <w:rFonts w:hint="eastAsia" w:ascii="宋体" w:hAnsi="宋体" w:eastAsia="宋体" w:cs="Times New Roman"/>
          <w:sz w:val="28"/>
          <w:szCs w:val="28"/>
          <w:lang w:val="en-US" w:eastAsia="zh-CN"/>
        </w:rPr>
        <w:t>2</w:t>
      </w:r>
      <w:r>
        <w:rPr>
          <w:rFonts w:hint="eastAsia" w:ascii="宋体" w:hAnsi="宋体" w:eastAsia="宋体" w:cs="Times New Roman"/>
          <w:sz w:val="28"/>
          <w:szCs w:val="28"/>
          <w:lang w:eastAsia="zh-CN"/>
        </w:rPr>
        <w:t>人获评湖南省“楚怡”教学名师，2人成为湖南省职业教育行业指导委员会委员，2人成为湖南省国内访问学者，2人荣获益阳市教育突出贡献奖，4人纳入益阳市首批高层次人才库，2人纳入益阳市科技专家库，1人入选益阳市宣传思想文化系统“五个一批”人才，</w:t>
      </w:r>
      <w:r>
        <w:rPr>
          <w:rFonts w:hint="eastAsia" w:ascii="宋体" w:hAnsi="宋体" w:eastAsia="宋体" w:cs="Times New Roman"/>
          <w:sz w:val="28"/>
          <w:szCs w:val="28"/>
          <w:lang w:val="en-US" w:eastAsia="zh-CN"/>
        </w:rPr>
        <w:t>2</w:t>
      </w:r>
      <w:r>
        <w:rPr>
          <w:rFonts w:hint="eastAsia" w:ascii="宋体" w:hAnsi="宋体" w:eastAsia="宋体" w:cs="Times New Roman"/>
          <w:sz w:val="28"/>
          <w:szCs w:val="28"/>
          <w:lang w:eastAsia="zh-CN"/>
        </w:rPr>
        <w:t>人获评益阳市“银城青年英才”，2人被评为益阳市小荷人才项目培养对象。近年来，学校教师在各级各类比赛中成果丰硕，教学论文、设计、案例、课件等获国家与省级以上奖项344人次；共有360余篇论文在省级以上刊物发表，其中SCI、EI、CSSCI、CSCD核心收录66篇；编写教材或著作72本，获得专利36项；取得课题220项。</w:t>
      </w:r>
    </w:p>
    <w:p w14:paraId="0781F4C8">
      <w:pPr>
        <w:adjustRightInd w:val="0"/>
        <w:snapToGrid w:val="0"/>
        <w:spacing w:line="60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益阳师范高等专科学校始终秉承“学高为师，身正为范”的校训，“团结奋进，求实创新”的校风，</w:t>
      </w:r>
      <w:r>
        <w:rPr>
          <w:rFonts w:hint="eastAsia" w:ascii="宋体" w:hAnsi="宋体" w:eastAsia="宋体" w:cs="Times New Roman"/>
          <w:sz w:val="28"/>
          <w:szCs w:val="28"/>
          <w:lang w:val="en-US" w:eastAsia="zh-CN"/>
        </w:rPr>
        <w:t>坚持</w:t>
      </w:r>
      <w:r>
        <w:rPr>
          <w:rFonts w:hint="eastAsia" w:ascii="宋体" w:hAnsi="宋体" w:eastAsia="宋体" w:cs="Times New Roman"/>
          <w:sz w:val="28"/>
          <w:szCs w:val="28"/>
          <w:lang w:eastAsia="zh-CN"/>
        </w:rPr>
        <w:t>“质量立校、人才强校、特色兴校、文化铸校”的办学方针，立足益阳，面向湖南，辐射周边省市，以提升办学整体实力和核心竞争力为重点，抢抓机遇，创造条件，致力于将学校建成省内一流、全国知名的高标准、现代化地方师范高等专科学校。</w:t>
      </w:r>
    </w:p>
    <w:p w14:paraId="3D28B51D">
      <w:pPr>
        <w:adjustRightInd w:val="0"/>
        <w:snapToGrid w:val="0"/>
        <w:spacing w:line="600" w:lineRule="exact"/>
        <w:ind w:firstLine="560" w:firstLineChars="200"/>
        <w:rPr>
          <w:rFonts w:hint="eastAsia" w:ascii="宋体" w:hAnsi="宋体" w:eastAsia="宋体"/>
          <w:sz w:val="28"/>
          <w:szCs w:val="28"/>
        </w:rPr>
      </w:pPr>
      <w:r>
        <w:rPr>
          <w:rFonts w:hint="eastAsia" w:ascii="宋体" w:hAnsi="宋体" w:eastAsia="宋体"/>
          <w:sz w:val="28"/>
          <w:szCs w:val="28"/>
        </w:rPr>
        <w:t>机构情况</w:t>
      </w:r>
      <w:r>
        <w:rPr>
          <w:rFonts w:hint="eastAsia" w:ascii="宋体" w:hAnsi="宋体" w:eastAsia="宋体"/>
          <w:sz w:val="28"/>
          <w:szCs w:val="28"/>
          <w:lang w:eastAsia="zh-CN"/>
        </w:rPr>
        <w:t>：</w:t>
      </w:r>
      <w:r>
        <w:rPr>
          <w:rFonts w:hint="eastAsia" w:ascii="宋体" w:hAnsi="宋体" w:eastAsia="宋体"/>
          <w:sz w:val="28"/>
          <w:szCs w:val="28"/>
        </w:rPr>
        <w:t>202</w:t>
      </w:r>
      <w:r>
        <w:rPr>
          <w:rFonts w:hint="eastAsia" w:ascii="宋体" w:hAnsi="宋体" w:eastAsia="宋体"/>
          <w:sz w:val="28"/>
          <w:szCs w:val="28"/>
          <w:lang w:val="en-US" w:eastAsia="zh-CN"/>
        </w:rPr>
        <w:t>4</w:t>
      </w:r>
      <w:r>
        <w:rPr>
          <w:rFonts w:hint="eastAsia" w:ascii="宋体" w:hAnsi="宋体" w:eastAsia="宋体"/>
          <w:sz w:val="28"/>
          <w:szCs w:val="28"/>
        </w:rPr>
        <w:t>年</w:t>
      </w:r>
      <w:r>
        <w:rPr>
          <w:rFonts w:hint="eastAsia" w:ascii="宋体" w:hAnsi="宋体" w:eastAsia="宋体"/>
          <w:sz w:val="28"/>
          <w:szCs w:val="28"/>
          <w:lang w:eastAsia="zh-CN"/>
        </w:rPr>
        <w:t>学校内部由党政办公室、组织人事</w:t>
      </w:r>
      <w:r>
        <w:rPr>
          <w:rFonts w:hint="eastAsia" w:ascii="宋体" w:hAnsi="宋体" w:eastAsia="宋体"/>
          <w:sz w:val="28"/>
          <w:szCs w:val="28"/>
          <w:lang w:val="en-US" w:eastAsia="zh-CN"/>
        </w:rPr>
        <w:t>处</w:t>
      </w:r>
      <w:r>
        <w:rPr>
          <w:rFonts w:hint="eastAsia" w:ascii="宋体" w:hAnsi="宋体" w:eastAsia="宋体"/>
          <w:sz w:val="28"/>
          <w:szCs w:val="28"/>
          <w:lang w:eastAsia="zh-CN"/>
        </w:rPr>
        <w:t>、</w:t>
      </w:r>
      <w:r>
        <w:rPr>
          <w:rFonts w:hint="eastAsia" w:ascii="宋体" w:hAnsi="宋体" w:eastAsia="宋体"/>
          <w:sz w:val="28"/>
          <w:szCs w:val="28"/>
          <w:lang w:val="en-US" w:eastAsia="zh-CN"/>
        </w:rPr>
        <w:t>宣传统战部、</w:t>
      </w:r>
      <w:r>
        <w:rPr>
          <w:rFonts w:hint="eastAsia" w:ascii="宋体" w:hAnsi="宋体" w:eastAsia="宋体"/>
          <w:sz w:val="28"/>
          <w:szCs w:val="28"/>
          <w:lang w:eastAsia="zh-CN"/>
        </w:rPr>
        <w:t>教务</w:t>
      </w:r>
      <w:r>
        <w:rPr>
          <w:rFonts w:hint="eastAsia" w:ascii="宋体" w:hAnsi="宋体" w:eastAsia="宋体"/>
          <w:sz w:val="28"/>
          <w:szCs w:val="28"/>
          <w:lang w:val="en-US" w:eastAsia="zh-CN"/>
        </w:rPr>
        <w:t>科研处</w:t>
      </w:r>
      <w:r>
        <w:rPr>
          <w:rFonts w:hint="eastAsia" w:ascii="宋体" w:hAnsi="宋体" w:eastAsia="宋体"/>
          <w:sz w:val="28"/>
          <w:szCs w:val="28"/>
          <w:lang w:eastAsia="zh-CN"/>
        </w:rPr>
        <w:t>、学生</w:t>
      </w:r>
      <w:r>
        <w:rPr>
          <w:rFonts w:hint="eastAsia" w:ascii="宋体" w:hAnsi="宋体" w:eastAsia="宋体"/>
          <w:sz w:val="28"/>
          <w:szCs w:val="28"/>
          <w:lang w:val="en-US" w:eastAsia="zh-CN"/>
        </w:rPr>
        <w:t>工作处</w:t>
      </w:r>
      <w:r>
        <w:rPr>
          <w:rFonts w:hint="eastAsia" w:ascii="宋体" w:hAnsi="宋体" w:eastAsia="宋体"/>
          <w:sz w:val="28"/>
          <w:szCs w:val="28"/>
          <w:lang w:eastAsia="zh-CN"/>
        </w:rPr>
        <w:t>、</w:t>
      </w:r>
      <w:r>
        <w:rPr>
          <w:rFonts w:hint="eastAsia" w:ascii="宋体" w:hAnsi="宋体" w:eastAsia="宋体"/>
          <w:sz w:val="28"/>
          <w:szCs w:val="28"/>
          <w:lang w:val="en-US" w:eastAsia="zh-CN"/>
        </w:rPr>
        <w:t>计划财务与资产管理处、后勤基建处</w:t>
      </w:r>
      <w:r>
        <w:rPr>
          <w:rFonts w:hint="eastAsia" w:ascii="宋体" w:hAnsi="宋体" w:eastAsia="宋体"/>
          <w:sz w:val="28"/>
          <w:szCs w:val="28"/>
          <w:lang w:eastAsia="zh-CN"/>
        </w:rPr>
        <w:t>、</w:t>
      </w:r>
      <w:r>
        <w:rPr>
          <w:rFonts w:hint="eastAsia" w:ascii="宋体" w:hAnsi="宋体" w:eastAsia="宋体"/>
          <w:sz w:val="28"/>
          <w:szCs w:val="28"/>
          <w:lang w:val="en-US" w:eastAsia="zh-CN"/>
        </w:rPr>
        <w:t>招生就业指导处、</w:t>
      </w:r>
      <w:r>
        <w:rPr>
          <w:rFonts w:hint="eastAsia" w:ascii="宋体" w:hAnsi="宋体" w:eastAsia="宋体"/>
          <w:sz w:val="28"/>
          <w:szCs w:val="28"/>
          <w:lang w:eastAsia="zh-CN"/>
        </w:rPr>
        <w:t>保卫</w:t>
      </w:r>
      <w:r>
        <w:rPr>
          <w:rFonts w:hint="eastAsia" w:ascii="宋体" w:hAnsi="宋体" w:eastAsia="宋体"/>
          <w:sz w:val="28"/>
          <w:szCs w:val="28"/>
          <w:lang w:val="en-US" w:eastAsia="zh-CN"/>
        </w:rPr>
        <w:t>处</w:t>
      </w:r>
      <w:r>
        <w:rPr>
          <w:rFonts w:hint="eastAsia" w:ascii="宋体" w:hAnsi="宋体" w:eastAsia="宋体"/>
          <w:sz w:val="28"/>
          <w:szCs w:val="28"/>
          <w:lang w:eastAsia="zh-CN"/>
        </w:rPr>
        <w:t>、团委、工会等职能科室</w:t>
      </w:r>
      <w:r>
        <w:rPr>
          <w:rFonts w:hint="eastAsia" w:ascii="宋体" w:hAnsi="宋体" w:eastAsia="宋体"/>
          <w:sz w:val="28"/>
          <w:szCs w:val="28"/>
        </w:rPr>
        <w:t>组成。</w:t>
      </w:r>
    </w:p>
    <w:p w14:paraId="348E7946">
      <w:pPr>
        <w:adjustRightInd w:val="0"/>
        <w:snapToGrid w:val="0"/>
        <w:spacing w:line="600" w:lineRule="exact"/>
        <w:ind w:firstLine="560" w:firstLineChars="200"/>
        <w:rPr>
          <w:rFonts w:ascii="宋体" w:hAnsi="宋体" w:eastAsia="宋体"/>
          <w:sz w:val="28"/>
          <w:szCs w:val="28"/>
        </w:rPr>
      </w:pPr>
      <w:r>
        <w:rPr>
          <w:rFonts w:hint="eastAsia" w:ascii="宋体" w:hAnsi="宋体" w:eastAsia="宋体"/>
          <w:sz w:val="28"/>
          <w:szCs w:val="28"/>
        </w:rPr>
        <w:t>学校部门整体支出包括基本支出和项目支出。</w:t>
      </w:r>
    </w:p>
    <w:p w14:paraId="5E533B61">
      <w:pPr>
        <w:adjustRightInd w:val="0"/>
        <w:snapToGrid w:val="0"/>
        <w:spacing w:line="600" w:lineRule="exact"/>
        <w:ind w:firstLine="560" w:firstLineChars="200"/>
        <w:rPr>
          <w:rFonts w:ascii="宋体" w:hAnsi="宋体" w:eastAsia="宋体"/>
          <w:sz w:val="28"/>
          <w:szCs w:val="28"/>
        </w:rPr>
      </w:pPr>
      <w:r>
        <w:rPr>
          <w:rFonts w:hint="eastAsia" w:ascii="宋体" w:hAnsi="宋体" w:eastAsia="宋体"/>
          <w:sz w:val="28"/>
          <w:szCs w:val="28"/>
        </w:rPr>
        <w:t>基本支出：保障教育教学工作的有效开展以及学校日常工作的正常运行。</w:t>
      </w:r>
    </w:p>
    <w:p w14:paraId="081A5C52">
      <w:pPr>
        <w:adjustRightInd w:val="0"/>
        <w:snapToGrid w:val="0"/>
        <w:spacing w:line="600" w:lineRule="exact"/>
        <w:ind w:firstLine="560" w:firstLineChars="200"/>
        <w:rPr>
          <w:rFonts w:hint="eastAsia" w:ascii="宋体" w:hAnsi="宋体" w:eastAsia="宋体"/>
          <w:sz w:val="28"/>
          <w:szCs w:val="28"/>
        </w:rPr>
      </w:pPr>
      <w:r>
        <w:rPr>
          <w:rFonts w:hint="eastAsia" w:ascii="宋体" w:hAnsi="宋体" w:eastAsia="宋体"/>
          <w:sz w:val="28"/>
          <w:szCs w:val="28"/>
        </w:rPr>
        <w:t>项目支出：完成特定工作任务或事业发展目标。如：房屋建筑物的构建、办公设备购置、专用设备购置、大型修缮等。</w:t>
      </w:r>
    </w:p>
    <w:p w14:paraId="45EEA64C">
      <w:pPr>
        <w:numPr>
          <w:ilvl w:val="0"/>
          <w:numId w:val="0"/>
        </w:numPr>
        <w:spacing w:line="520" w:lineRule="exact"/>
        <w:rPr>
          <w:rFonts w:eastAsia="黑体"/>
          <w:szCs w:val="32"/>
        </w:rPr>
      </w:pPr>
    </w:p>
    <w:p w14:paraId="527E29D9">
      <w:pPr>
        <w:pStyle w:val="9"/>
        <w:spacing w:line="520" w:lineRule="exact"/>
        <w:ind w:firstLine="632"/>
        <w:rPr>
          <w:rFonts w:ascii="Times New Roman" w:hAnsi="Times New Roman" w:eastAsia="黑体"/>
          <w:szCs w:val="32"/>
        </w:rPr>
      </w:pPr>
      <w:r>
        <w:rPr>
          <w:rFonts w:ascii="Times New Roman" w:hAnsi="Times New Roman" w:eastAsia="黑体"/>
          <w:szCs w:val="32"/>
        </w:rPr>
        <w:t>二、一般公共预算支出情况</w:t>
      </w:r>
    </w:p>
    <w:p w14:paraId="25482828">
      <w:pPr>
        <w:pStyle w:val="9"/>
        <w:spacing w:line="520" w:lineRule="exact"/>
        <w:ind w:firstLine="634"/>
        <w:rPr>
          <w:rFonts w:ascii="Times New Roman" w:hAnsi="Times New Roman" w:eastAsia="楷体_GB2312"/>
          <w:b/>
          <w:szCs w:val="32"/>
        </w:rPr>
      </w:pPr>
      <w:r>
        <w:rPr>
          <w:rFonts w:ascii="Times New Roman" w:hAnsi="Times New Roman" w:eastAsia="楷体_GB2312"/>
          <w:b/>
          <w:szCs w:val="32"/>
        </w:rPr>
        <w:t>（一）基本支出情况</w:t>
      </w:r>
    </w:p>
    <w:p w14:paraId="32B14469">
      <w:pPr>
        <w:adjustRightInd w:val="0"/>
        <w:snapToGrid w:val="0"/>
        <w:spacing w:line="600" w:lineRule="exact"/>
        <w:ind w:firstLine="560" w:firstLineChars="200"/>
        <w:rPr>
          <w:rFonts w:hint="eastAsia"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4</w:t>
      </w:r>
      <w:r>
        <w:rPr>
          <w:rFonts w:hint="eastAsia" w:ascii="宋体" w:hAnsi="宋体" w:eastAsia="宋体"/>
          <w:sz w:val="28"/>
          <w:szCs w:val="28"/>
        </w:rPr>
        <w:t>年度我校一般公共预算基本支出为</w:t>
      </w:r>
      <w:r>
        <w:rPr>
          <w:rFonts w:hint="eastAsia" w:ascii="宋体" w:hAnsi="宋体" w:eastAsia="宋体"/>
          <w:sz w:val="28"/>
          <w:szCs w:val="28"/>
          <w:lang w:val="en-US" w:eastAsia="zh-CN"/>
        </w:rPr>
        <w:t>8633.08</w:t>
      </w:r>
      <w:r>
        <w:rPr>
          <w:rFonts w:hint="eastAsia" w:ascii="宋体" w:hAnsi="宋体" w:eastAsia="宋体"/>
          <w:sz w:val="28"/>
          <w:szCs w:val="28"/>
        </w:rPr>
        <w:t>万元。其中人员经费支出</w:t>
      </w:r>
      <w:r>
        <w:rPr>
          <w:rFonts w:hint="eastAsia" w:ascii="宋体" w:hAnsi="宋体" w:eastAsia="宋体"/>
          <w:sz w:val="28"/>
          <w:szCs w:val="28"/>
          <w:lang w:val="en-US" w:eastAsia="zh-CN"/>
        </w:rPr>
        <w:t>6672.93</w:t>
      </w:r>
      <w:r>
        <w:rPr>
          <w:rFonts w:hint="eastAsia" w:ascii="宋体" w:hAnsi="宋体" w:eastAsia="宋体"/>
          <w:sz w:val="28"/>
          <w:szCs w:val="28"/>
        </w:rPr>
        <w:t>万元；公用经费支出</w:t>
      </w:r>
      <w:r>
        <w:rPr>
          <w:rFonts w:hint="eastAsia" w:ascii="宋体" w:hAnsi="宋体" w:eastAsia="宋体"/>
          <w:sz w:val="28"/>
          <w:szCs w:val="28"/>
          <w:lang w:val="en-US" w:eastAsia="zh-CN"/>
        </w:rPr>
        <w:t>1960.15</w:t>
      </w:r>
      <w:r>
        <w:rPr>
          <w:rFonts w:hint="eastAsia" w:ascii="宋体" w:hAnsi="宋体" w:eastAsia="宋体"/>
          <w:sz w:val="28"/>
          <w:szCs w:val="28"/>
        </w:rPr>
        <w:t>万元。</w:t>
      </w:r>
    </w:p>
    <w:p w14:paraId="0A1ED5A6">
      <w:pPr>
        <w:pStyle w:val="9"/>
        <w:numPr>
          <w:ilvl w:val="0"/>
          <w:numId w:val="2"/>
        </w:numPr>
        <w:spacing w:line="520" w:lineRule="exact"/>
        <w:ind w:firstLine="634"/>
        <w:rPr>
          <w:rFonts w:ascii="Times New Roman" w:hAnsi="Times New Roman" w:eastAsia="楷体_GB2312"/>
          <w:b/>
          <w:szCs w:val="32"/>
        </w:rPr>
      </w:pPr>
      <w:r>
        <w:rPr>
          <w:rFonts w:ascii="Times New Roman" w:hAnsi="Times New Roman" w:eastAsia="楷体_GB2312"/>
          <w:b/>
          <w:szCs w:val="32"/>
        </w:rPr>
        <w:t>项目支出情况</w:t>
      </w:r>
    </w:p>
    <w:p w14:paraId="596852EB">
      <w:pPr>
        <w:widowControl/>
        <w:spacing w:line="600" w:lineRule="exact"/>
        <w:ind w:firstLine="560" w:firstLineChars="200"/>
        <w:rPr>
          <w:rFonts w:hint="eastAsia" w:ascii="宋体" w:hAnsi="宋体" w:eastAsia="宋体"/>
          <w:sz w:val="28"/>
          <w:szCs w:val="28"/>
        </w:rPr>
      </w:pPr>
      <w:r>
        <w:rPr>
          <w:rFonts w:ascii="宋体" w:hAnsi="宋体" w:eastAsia="宋体"/>
          <w:sz w:val="28"/>
          <w:szCs w:val="28"/>
        </w:rPr>
        <w:t>202</w:t>
      </w:r>
      <w:r>
        <w:rPr>
          <w:rFonts w:hint="eastAsia" w:ascii="宋体" w:hAnsi="宋体" w:eastAsia="宋体"/>
          <w:sz w:val="28"/>
          <w:szCs w:val="28"/>
          <w:lang w:val="en-US" w:eastAsia="zh-CN"/>
        </w:rPr>
        <w:t>4</w:t>
      </w:r>
      <w:r>
        <w:rPr>
          <w:rFonts w:hint="eastAsia" w:ascii="宋体" w:hAnsi="宋体" w:eastAsia="宋体"/>
          <w:sz w:val="28"/>
          <w:szCs w:val="28"/>
        </w:rPr>
        <w:t>年度我校一般公共预算项目支出为</w:t>
      </w:r>
      <w:r>
        <w:rPr>
          <w:rFonts w:hint="eastAsia" w:ascii="宋体" w:hAnsi="宋体" w:eastAsia="宋体"/>
          <w:sz w:val="28"/>
          <w:szCs w:val="28"/>
          <w:lang w:val="en-US" w:eastAsia="zh-CN"/>
        </w:rPr>
        <w:t>1492.47万元，其中益阳师专2024年专项债券利息项目支出 1416万元，改善办学条件礼堂维修项目76.47万元。</w:t>
      </w:r>
    </w:p>
    <w:p w14:paraId="2BC54EE2">
      <w:pPr>
        <w:pStyle w:val="9"/>
        <w:numPr>
          <w:ilvl w:val="0"/>
          <w:numId w:val="0"/>
        </w:numPr>
        <w:spacing w:line="520" w:lineRule="exact"/>
        <w:rPr>
          <w:rFonts w:ascii="Times New Roman" w:hAnsi="Times New Roman" w:eastAsia="楷体_GB2312"/>
          <w:b/>
          <w:szCs w:val="32"/>
        </w:rPr>
      </w:pPr>
    </w:p>
    <w:p w14:paraId="3D25F20A">
      <w:pPr>
        <w:pStyle w:val="9"/>
        <w:numPr>
          <w:ilvl w:val="0"/>
          <w:numId w:val="0"/>
        </w:numPr>
        <w:spacing w:line="520" w:lineRule="exact"/>
        <w:ind w:leftChars="200"/>
        <w:rPr>
          <w:rFonts w:ascii="Times New Roman" w:hAnsi="Times New Roman" w:eastAsia="黑体"/>
          <w:szCs w:val="32"/>
        </w:rPr>
      </w:pPr>
      <w:r>
        <w:rPr>
          <w:rFonts w:hint="eastAsia" w:ascii="Times New Roman" w:hAnsi="Times New Roman" w:eastAsia="黑体"/>
          <w:szCs w:val="32"/>
          <w:lang w:val="en-US" w:eastAsia="zh-CN"/>
        </w:rPr>
        <w:t>三、</w:t>
      </w:r>
      <w:r>
        <w:rPr>
          <w:rFonts w:ascii="Times New Roman" w:hAnsi="Times New Roman" w:eastAsia="黑体"/>
          <w:szCs w:val="32"/>
        </w:rPr>
        <w:t>政府性基金预算支出情况</w:t>
      </w:r>
    </w:p>
    <w:p w14:paraId="17301E39">
      <w:pPr>
        <w:widowControl/>
        <w:spacing w:line="60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2024年度我校政府性基金支出为6098.39万元，其中益阳师范提质搬迁工程项目支出6098.39万元。</w:t>
      </w:r>
    </w:p>
    <w:p w14:paraId="3D1951C8">
      <w:pPr>
        <w:pStyle w:val="9"/>
        <w:spacing w:line="520" w:lineRule="exact"/>
        <w:ind w:firstLine="632"/>
        <w:rPr>
          <w:rFonts w:ascii="Times New Roman" w:hAnsi="Times New Roman" w:eastAsia="黑体"/>
          <w:szCs w:val="32"/>
        </w:rPr>
      </w:pPr>
      <w:r>
        <w:rPr>
          <w:rFonts w:ascii="Times New Roman" w:hAnsi="Times New Roman" w:eastAsia="黑体"/>
          <w:szCs w:val="32"/>
        </w:rPr>
        <w:t>四、国有资本经营预算支出情况</w:t>
      </w:r>
    </w:p>
    <w:p w14:paraId="0B35DF0E">
      <w:pPr>
        <w:pStyle w:val="9"/>
        <w:spacing w:line="520" w:lineRule="exact"/>
        <w:ind w:firstLine="632"/>
        <w:rPr>
          <w:rFonts w:hint="default" w:ascii="Times New Roman" w:hAnsi="Times New Roman" w:eastAsia="黑体"/>
          <w:szCs w:val="32"/>
          <w:lang w:val="en-US" w:eastAsia="zh-CN"/>
        </w:rPr>
      </w:pPr>
      <w:r>
        <w:rPr>
          <w:rFonts w:hint="eastAsia" w:ascii="Times New Roman" w:hAnsi="Times New Roman" w:eastAsia="黑体"/>
          <w:szCs w:val="32"/>
          <w:lang w:val="en-US" w:eastAsia="zh-CN"/>
        </w:rPr>
        <w:t xml:space="preserve">   无</w:t>
      </w:r>
    </w:p>
    <w:p w14:paraId="7C41AE65">
      <w:pPr>
        <w:pStyle w:val="9"/>
        <w:spacing w:line="520" w:lineRule="exact"/>
        <w:ind w:firstLine="632"/>
        <w:rPr>
          <w:rFonts w:ascii="Times New Roman" w:hAnsi="Times New Roman" w:eastAsia="黑体"/>
          <w:szCs w:val="32"/>
        </w:rPr>
      </w:pPr>
      <w:r>
        <w:rPr>
          <w:rFonts w:ascii="Times New Roman" w:hAnsi="Times New Roman" w:eastAsia="黑体"/>
          <w:szCs w:val="32"/>
        </w:rPr>
        <w:t>五、社会保险基金预算支出情况</w:t>
      </w:r>
    </w:p>
    <w:p w14:paraId="22E614DC">
      <w:pPr>
        <w:spacing w:line="520" w:lineRule="exact"/>
        <w:ind w:firstLine="640" w:firstLineChars="200"/>
        <w:rPr>
          <w:rFonts w:hint="default" w:eastAsia="黑体"/>
          <w:szCs w:val="32"/>
          <w:lang w:val="en-US" w:eastAsia="zh-CN"/>
        </w:rPr>
      </w:pPr>
      <w:r>
        <w:rPr>
          <w:rFonts w:hint="eastAsia" w:eastAsia="黑体"/>
          <w:szCs w:val="32"/>
          <w:lang w:val="en-US" w:eastAsia="zh-CN"/>
        </w:rPr>
        <w:t xml:space="preserve">   无</w:t>
      </w:r>
    </w:p>
    <w:p w14:paraId="3D628EA8">
      <w:pPr>
        <w:spacing w:line="520" w:lineRule="exact"/>
        <w:ind w:firstLine="640" w:firstLineChars="200"/>
        <w:rPr>
          <w:rFonts w:eastAsia="黑体"/>
          <w:szCs w:val="32"/>
        </w:rPr>
      </w:pPr>
      <w:r>
        <w:rPr>
          <w:rFonts w:eastAsia="黑体"/>
          <w:szCs w:val="32"/>
        </w:rPr>
        <w:t>六、部门整体支出绩效情况</w:t>
      </w:r>
    </w:p>
    <w:p w14:paraId="4E430D02">
      <w:pPr>
        <w:spacing w:line="520" w:lineRule="exact"/>
        <w:ind w:firstLine="640" w:firstLineChars="200"/>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主要根据本通知“自评内容”开展评价的结果撰写。</w:t>
      </w:r>
    </w:p>
    <w:p w14:paraId="67D6C5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8"/>
          <w:szCs w:val="28"/>
        </w:rPr>
        <w:t>20</w:t>
      </w:r>
      <w:r>
        <w:rPr>
          <w:rFonts w:hint="eastAsia" w:ascii="宋体" w:hAnsi="宋体" w:eastAsia="宋体" w:cs="宋体"/>
          <w:i w:val="0"/>
          <w:caps w:val="0"/>
          <w:color w:val="000000"/>
          <w:spacing w:val="0"/>
          <w:sz w:val="28"/>
          <w:szCs w:val="28"/>
          <w:lang w:val="en-US" w:eastAsia="zh-CN"/>
        </w:rPr>
        <w:t>24</w:t>
      </w:r>
      <w:r>
        <w:rPr>
          <w:rFonts w:hint="eastAsia" w:ascii="宋体" w:hAnsi="宋体" w:eastAsia="宋体" w:cs="宋体"/>
          <w:i w:val="0"/>
          <w:caps w:val="0"/>
          <w:color w:val="000000"/>
          <w:spacing w:val="0"/>
          <w:sz w:val="28"/>
          <w:szCs w:val="28"/>
        </w:rPr>
        <w:t>年学校的各项支出实行厉行节约，严格按照预算额度执行，按部门预算进行成本控制。</w:t>
      </w:r>
    </w:p>
    <w:p w14:paraId="567108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8"/>
          <w:szCs w:val="28"/>
        </w:rPr>
        <w:t>1、财政供养人员控制在预算编制以内，编制内在职人员控制率为</w:t>
      </w:r>
      <w:r>
        <w:rPr>
          <w:rFonts w:hint="eastAsia" w:ascii="宋体" w:hAnsi="宋体" w:eastAsia="宋体" w:cs="宋体"/>
          <w:i w:val="0"/>
          <w:caps w:val="0"/>
          <w:color w:val="000000"/>
          <w:spacing w:val="0"/>
          <w:sz w:val="28"/>
          <w:szCs w:val="28"/>
          <w:lang w:val="en-US" w:eastAsia="zh-CN"/>
        </w:rPr>
        <w:t>100</w:t>
      </w:r>
      <w:r>
        <w:rPr>
          <w:rFonts w:hint="eastAsia" w:ascii="宋体" w:hAnsi="宋体" w:eastAsia="宋体" w:cs="宋体"/>
          <w:i w:val="0"/>
          <w:caps w:val="0"/>
          <w:color w:val="000000"/>
          <w:spacing w:val="0"/>
          <w:sz w:val="28"/>
          <w:szCs w:val="28"/>
        </w:rPr>
        <w:t>%；</w:t>
      </w:r>
    </w:p>
    <w:p w14:paraId="08454B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8"/>
          <w:szCs w:val="28"/>
        </w:rPr>
        <w:t>2、整体支出预算完成率</w:t>
      </w:r>
      <w:r>
        <w:rPr>
          <w:rFonts w:hint="eastAsia" w:ascii="宋体" w:hAnsi="宋体" w:eastAsia="宋体" w:cs="宋体"/>
          <w:i w:val="0"/>
          <w:caps w:val="0"/>
          <w:color w:val="000000"/>
          <w:spacing w:val="0"/>
          <w:sz w:val="28"/>
          <w:szCs w:val="28"/>
          <w:lang w:val="en-US" w:eastAsia="zh-CN"/>
        </w:rPr>
        <w:t>100</w:t>
      </w:r>
      <w:r>
        <w:rPr>
          <w:rFonts w:hint="eastAsia" w:ascii="宋体" w:hAnsi="宋体" w:eastAsia="宋体" w:cs="宋体"/>
          <w:i w:val="0"/>
          <w:caps w:val="0"/>
          <w:color w:val="000000"/>
          <w:spacing w:val="0"/>
          <w:sz w:val="28"/>
          <w:szCs w:val="28"/>
        </w:rPr>
        <w:t>%</w:t>
      </w:r>
      <w:r>
        <w:rPr>
          <w:rFonts w:hint="eastAsia" w:ascii="宋体" w:hAnsi="宋体" w:eastAsia="宋体" w:cs="宋体"/>
          <w:i w:val="0"/>
          <w:caps w:val="0"/>
          <w:color w:val="000000"/>
          <w:spacing w:val="0"/>
          <w:sz w:val="28"/>
          <w:szCs w:val="28"/>
          <w:lang w:eastAsia="zh-CN"/>
        </w:rPr>
        <w:t>；</w:t>
      </w:r>
    </w:p>
    <w:p w14:paraId="44F72C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3、公用经费控制率</w:t>
      </w:r>
      <w:r>
        <w:rPr>
          <w:rFonts w:hint="eastAsia" w:ascii="宋体" w:hAnsi="宋体" w:eastAsia="宋体" w:cs="宋体"/>
          <w:i w:val="0"/>
          <w:caps w:val="0"/>
          <w:color w:val="000000"/>
          <w:spacing w:val="0"/>
          <w:sz w:val="28"/>
          <w:szCs w:val="28"/>
          <w:lang w:val="en-US" w:eastAsia="zh-CN"/>
        </w:rPr>
        <w:t>100</w:t>
      </w:r>
      <w:r>
        <w:rPr>
          <w:rFonts w:hint="eastAsia" w:ascii="宋体" w:hAnsi="宋体" w:eastAsia="宋体" w:cs="宋体"/>
          <w:i w:val="0"/>
          <w:caps w:val="0"/>
          <w:color w:val="000000"/>
          <w:spacing w:val="0"/>
          <w:sz w:val="28"/>
          <w:szCs w:val="28"/>
        </w:rPr>
        <w:t>%；</w:t>
      </w:r>
    </w:p>
    <w:p w14:paraId="73AD0F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4、“三公经费”预算数为</w:t>
      </w:r>
      <w:r>
        <w:rPr>
          <w:rFonts w:hint="eastAsia" w:ascii="宋体" w:hAnsi="宋体" w:eastAsia="宋体" w:cs="宋体"/>
          <w:i w:val="0"/>
          <w:caps w:val="0"/>
          <w:color w:val="000000"/>
          <w:spacing w:val="0"/>
          <w:sz w:val="28"/>
          <w:szCs w:val="28"/>
          <w:lang w:val="en-US" w:eastAsia="zh-CN"/>
        </w:rPr>
        <w:t>0</w:t>
      </w:r>
      <w:r>
        <w:rPr>
          <w:rFonts w:hint="eastAsia" w:ascii="宋体" w:hAnsi="宋体" w:eastAsia="宋体" w:cs="宋体"/>
          <w:i w:val="0"/>
          <w:caps w:val="0"/>
          <w:color w:val="000000"/>
          <w:spacing w:val="0"/>
          <w:sz w:val="28"/>
          <w:szCs w:val="28"/>
        </w:rPr>
        <w:t>万元。”三公经费”实际支出</w:t>
      </w:r>
      <w:r>
        <w:rPr>
          <w:rFonts w:hint="eastAsia" w:ascii="宋体" w:hAnsi="宋体" w:eastAsia="宋体" w:cs="宋体"/>
          <w:i w:val="0"/>
          <w:caps w:val="0"/>
          <w:color w:val="000000"/>
          <w:spacing w:val="0"/>
          <w:sz w:val="28"/>
          <w:szCs w:val="28"/>
          <w:lang w:val="en-US" w:eastAsia="zh-CN"/>
        </w:rPr>
        <w:t>0</w:t>
      </w:r>
      <w:r>
        <w:rPr>
          <w:rFonts w:hint="eastAsia" w:ascii="宋体" w:hAnsi="宋体" w:eastAsia="宋体" w:cs="宋体"/>
          <w:i w:val="0"/>
          <w:caps w:val="0"/>
          <w:color w:val="000000"/>
          <w:spacing w:val="0"/>
          <w:sz w:val="28"/>
          <w:szCs w:val="28"/>
        </w:rPr>
        <w:t>万元。</w:t>
      </w:r>
    </w:p>
    <w:p w14:paraId="083482B5">
      <w:pPr>
        <w:pStyle w:val="9"/>
        <w:spacing w:line="520" w:lineRule="exact"/>
        <w:ind w:firstLine="632"/>
        <w:rPr>
          <w:rFonts w:ascii="Times New Roman" w:hAnsi="Times New Roman" w:eastAsia="黑体"/>
          <w:szCs w:val="32"/>
        </w:rPr>
      </w:pPr>
    </w:p>
    <w:p w14:paraId="64CF9CA6">
      <w:pPr>
        <w:pStyle w:val="9"/>
        <w:spacing w:line="520" w:lineRule="exact"/>
        <w:ind w:firstLine="632"/>
        <w:rPr>
          <w:rFonts w:ascii="Times New Roman" w:hAnsi="Times New Roman" w:eastAsia="黑体"/>
          <w:szCs w:val="32"/>
        </w:rPr>
      </w:pPr>
      <w:r>
        <w:rPr>
          <w:rFonts w:ascii="Times New Roman" w:hAnsi="Times New Roman" w:eastAsia="黑体"/>
          <w:szCs w:val="32"/>
        </w:rPr>
        <w:t>七、存在的问题及原因分析</w:t>
      </w:r>
    </w:p>
    <w:p w14:paraId="7F1C04FD">
      <w:pPr>
        <w:spacing w:line="520" w:lineRule="exact"/>
        <w:ind w:firstLine="640" w:firstLineChars="200"/>
        <w:rPr>
          <w:rFonts w:hint="default" w:eastAsia="黑体"/>
          <w:szCs w:val="32"/>
          <w:lang w:val="en-US" w:eastAsia="zh-CN"/>
        </w:rPr>
      </w:pPr>
      <w:r>
        <w:rPr>
          <w:rFonts w:hint="eastAsia" w:eastAsia="黑体"/>
          <w:szCs w:val="32"/>
          <w:lang w:val="en-US" w:eastAsia="zh-CN"/>
        </w:rPr>
        <w:t xml:space="preserve"> </w:t>
      </w:r>
      <w:r>
        <w:rPr>
          <w:rFonts w:hint="eastAsia" w:ascii="宋体" w:hAnsi="宋体" w:eastAsia="宋体"/>
          <w:sz w:val="28"/>
          <w:szCs w:val="28"/>
          <w:lang w:val="en-US" w:eastAsia="zh-CN"/>
        </w:rPr>
        <w:t>无</w:t>
      </w:r>
    </w:p>
    <w:p w14:paraId="7EDBB057">
      <w:pPr>
        <w:spacing w:line="520" w:lineRule="exact"/>
        <w:ind w:firstLine="640" w:firstLineChars="200"/>
        <w:rPr>
          <w:rFonts w:eastAsia="黑体"/>
          <w:szCs w:val="32"/>
        </w:rPr>
      </w:pPr>
      <w:r>
        <w:rPr>
          <w:rFonts w:eastAsia="黑体"/>
          <w:szCs w:val="32"/>
        </w:rPr>
        <w:t>八、下一步改进措施</w:t>
      </w:r>
    </w:p>
    <w:p w14:paraId="35AB8E72">
      <w:pPr>
        <w:spacing w:line="520" w:lineRule="exact"/>
        <w:ind w:firstLine="840" w:firstLineChars="300"/>
        <w:rPr>
          <w:rFonts w:hint="default" w:eastAsia="黑体"/>
          <w:szCs w:val="32"/>
          <w:lang w:val="en-US" w:eastAsia="zh-CN"/>
        </w:rPr>
      </w:pPr>
      <w:r>
        <w:rPr>
          <w:rFonts w:hint="eastAsia" w:ascii="宋体" w:hAnsi="宋体" w:eastAsia="宋体"/>
          <w:sz w:val="28"/>
          <w:szCs w:val="28"/>
          <w:lang w:val="en-US" w:eastAsia="zh-CN"/>
        </w:rPr>
        <w:t>无</w:t>
      </w:r>
    </w:p>
    <w:p w14:paraId="7DEBEAB6">
      <w:pPr>
        <w:spacing w:line="520" w:lineRule="exact"/>
        <w:ind w:firstLine="640" w:firstLineChars="200"/>
        <w:rPr>
          <w:rFonts w:eastAsia="黑体"/>
          <w:szCs w:val="32"/>
        </w:rPr>
      </w:pPr>
      <w:r>
        <w:rPr>
          <w:rFonts w:eastAsia="黑体"/>
          <w:szCs w:val="32"/>
        </w:rPr>
        <w:t>九、绩效自评结果拟应用和公开情况</w:t>
      </w:r>
    </w:p>
    <w:p w14:paraId="0BD4E544">
      <w:pPr>
        <w:numPr>
          <w:ilvl w:val="0"/>
          <w:numId w:val="0"/>
        </w:numPr>
        <w:spacing w:line="520" w:lineRule="exact"/>
        <w:ind w:firstLine="320" w:firstLineChars="100"/>
        <w:rPr>
          <w:rFonts w:hint="default" w:eastAsia="黑体"/>
          <w:szCs w:val="32"/>
          <w:lang w:val="en-US" w:eastAsia="zh-CN"/>
        </w:rPr>
      </w:pPr>
      <w:r>
        <w:rPr>
          <w:rFonts w:hint="eastAsia" w:eastAsia="黑体"/>
          <w:szCs w:val="32"/>
          <w:lang w:val="en-US" w:eastAsia="zh-CN"/>
        </w:rPr>
        <w:t xml:space="preserve"> </w:t>
      </w:r>
      <w:r>
        <w:rPr>
          <w:rFonts w:hint="eastAsia" w:ascii="宋体" w:hAnsi="宋体" w:eastAsia="宋体"/>
          <w:sz w:val="28"/>
          <w:szCs w:val="28"/>
        </w:rPr>
        <w:t>绩效自评结果将为下年度预算配置、预算执行和预算管理提供参照和依据，不断细化绩效评价指标，提高资金使用效益。绩效评价报告及相关表格将按规定在门户网站进行公开。</w:t>
      </w:r>
    </w:p>
    <w:p w14:paraId="22BB0AE9">
      <w:pPr>
        <w:numPr>
          <w:ilvl w:val="0"/>
          <w:numId w:val="0"/>
        </w:numPr>
        <w:spacing w:line="520" w:lineRule="exact"/>
        <w:ind w:leftChars="200"/>
        <w:rPr>
          <w:rFonts w:eastAsia="黑体"/>
          <w:szCs w:val="32"/>
        </w:rPr>
      </w:pPr>
      <w:r>
        <w:rPr>
          <w:rFonts w:hint="eastAsia" w:eastAsia="黑体"/>
          <w:szCs w:val="32"/>
          <w:lang w:val="en-US" w:eastAsia="zh-CN"/>
        </w:rPr>
        <w:t>十、</w:t>
      </w:r>
      <w:r>
        <w:rPr>
          <w:rFonts w:eastAsia="黑体"/>
          <w:szCs w:val="32"/>
        </w:rPr>
        <w:t>其他需要说明的情况</w:t>
      </w:r>
    </w:p>
    <w:p w14:paraId="18D17E36">
      <w:r>
        <w:rPr>
          <w:rFonts w:hint="eastAsia" w:eastAsia="黑体"/>
          <w:szCs w:val="32"/>
          <w:lang w:val="en-US" w:eastAsia="zh-CN"/>
        </w:rPr>
        <w:t xml:space="preserve">     </w:t>
      </w:r>
      <w:r>
        <w:rPr>
          <w:rFonts w:hint="eastAsia" w:ascii="宋体" w:hAnsi="宋体" w:eastAsia="宋体"/>
          <w:sz w:val="28"/>
          <w:szCs w:val="28"/>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56596"/>
    <w:multiLevelType w:val="singleLevel"/>
    <w:tmpl w:val="29156596"/>
    <w:lvl w:ilvl="0" w:tentative="0">
      <w:start w:val="1"/>
      <w:numFmt w:val="chineseCounting"/>
      <w:suff w:val="nothing"/>
      <w:lvlText w:val="%1、"/>
      <w:lvlJc w:val="left"/>
      <w:rPr>
        <w:rFonts w:hint="eastAsia"/>
      </w:rPr>
    </w:lvl>
  </w:abstractNum>
  <w:abstractNum w:abstractNumId="1">
    <w:nsid w:val="41D3F30D"/>
    <w:multiLevelType w:val="singleLevel"/>
    <w:tmpl w:val="41D3F30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5251F"/>
    <w:rsid w:val="01AF1E4D"/>
    <w:rsid w:val="14DE52CD"/>
    <w:rsid w:val="18A66B31"/>
    <w:rsid w:val="18ED2570"/>
    <w:rsid w:val="19E13351"/>
    <w:rsid w:val="27C6290A"/>
    <w:rsid w:val="32854830"/>
    <w:rsid w:val="34ED49E5"/>
    <w:rsid w:val="41554571"/>
    <w:rsid w:val="45C217AF"/>
    <w:rsid w:val="5BE5251F"/>
    <w:rsid w:val="6549634D"/>
    <w:rsid w:val="70CD6084"/>
    <w:rsid w:val="71BB2380"/>
    <w:rsid w:val="75107AD2"/>
    <w:rsid w:val="7BC5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2"/>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1378</Words>
  <Characters>1489</Characters>
  <Lines>0</Lines>
  <Paragraphs>0</Paragraphs>
  <TotalTime>0</TotalTime>
  <ScaleCrop>false</ScaleCrop>
  <LinksUpToDate>false</LinksUpToDate>
  <CharactersWithSpaces>1510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2025-04-08T01:19:00Z</dcterms:created>
  <dc:creator>Yaaa</dc:creator>
  <cp:lastModifiedBy>Yaaa</cp:lastModifiedBy>
  <dcterms:modified xsi:type="dcterms:W3CDTF">2025-05-09T08:46:50Z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B35526B0BB0F4F0DAC9D95D4625F9A25_11</vt:lpwstr>
  </property>
  <property fmtid="{D5CDD505-2E9C-101B-9397-08002B2CF9AE}" pid="4" name="KSOTemplateDocerSaveRecord">
    <vt:lpwstr>eyJoZGlkIjoiNWQ1Njk4NDRkMDcwNWJlOTAzMTZlOTIxNzYwNDRhZGIiLCJ1c2VySWQiOiIzMjIwNzQzNDgifQ==</vt:lpwstr>
  </property>
</Properties>
</file>