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2022年度省级示范教师培训机构创建经费</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spacing w:line="700" w:lineRule="exact"/>
        <w:jc w:val="center"/>
        <w:rPr>
          <w:rFonts w:ascii="黑体" w:hAnsi="黑体" w:eastAsia="黑体" w:cs="黑体"/>
          <w:sz w:val="36"/>
          <w:szCs w:val="36"/>
        </w:rPr>
      </w:pPr>
    </w:p>
    <w:p>
      <w:pPr>
        <w:keepNext w:val="0"/>
        <w:keepLines w:val="0"/>
        <w:pageBreakBefore w:val="0"/>
        <w:kinsoku/>
        <w:wordWrap/>
        <w:overflowPunct/>
        <w:autoSpaceDE/>
        <w:autoSpaceDN/>
        <w:bidi w:val="0"/>
        <w:adjustRightInd w:val="0"/>
        <w:snapToGrid w:val="0"/>
        <w:spacing w:line="580" w:lineRule="exact"/>
        <w:ind w:firstLine="640" w:firstLineChars="200"/>
        <w:rPr>
          <w:rFonts w:ascii="黑体" w:hAnsi="黑体" w:eastAsia="黑体"/>
          <w:szCs w:val="32"/>
        </w:rPr>
      </w:pPr>
      <w:r>
        <w:rPr>
          <w:rFonts w:ascii="黑体" w:hAnsi="黑体" w:eastAsia="黑体"/>
          <w:szCs w:val="32"/>
        </w:rPr>
        <w:t>一、项目概况</w:t>
      </w:r>
    </w:p>
    <w:p>
      <w:pPr>
        <w:keepNext w:val="0"/>
        <w:keepLines w:val="0"/>
        <w:pageBreakBefore w:val="0"/>
        <w:kinsoku/>
        <w:wordWrap/>
        <w:overflowPunct/>
        <w:autoSpaceDE/>
        <w:autoSpaceDN/>
        <w:bidi w:val="0"/>
        <w:adjustRightInd w:val="0"/>
        <w:snapToGrid w:val="0"/>
        <w:spacing w:line="580" w:lineRule="exact"/>
        <w:ind w:firstLine="640" w:firstLineChars="200"/>
        <w:rPr>
          <w:rFonts w:ascii="仿宋" w:hAnsi="仿宋" w:eastAsia="仿宋" w:cs="仿宋"/>
          <w:szCs w:val="32"/>
        </w:rPr>
      </w:pPr>
      <w:r>
        <w:rPr>
          <w:rFonts w:hint="eastAsia" w:ascii="仿宋" w:hAnsi="仿宋" w:eastAsia="仿宋" w:cs="仿宋"/>
          <w:szCs w:val="32"/>
        </w:rPr>
        <w:t>市委、市政府《关于加快推进教育强市建设的意见》（益发[2017]5号）明确提出“支持益阳市中小学教师发展中心建成国家级示范性教师发展中心”和“支持益阳广播电视大学加快现代化开放大学建设进程”并将该项工作纳入市“十四五”教育发展规划。中小学教师发展中心主要开展“国培”“省培”“市培”和各项教师培训活动，并按照国家级示范性教师发展中心标准进一步改善教师培训设施设备，提高办学条件。</w:t>
      </w:r>
    </w:p>
    <w:p>
      <w:pPr>
        <w:keepNext w:val="0"/>
        <w:keepLines w:val="0"/>
        <w:pageBreakBefore w:val="0"/>
        <w:numPr>
          <w:ilvl w:val="0"/>
          <w:numId w:val="1"/>
        </w:numPr>
        <w:kinsoku/>
        <w:wordWrap/>
        <w:overflowPunct/>
        <w:autoSpaceDE/>
        <w:autoSpaceDN/>
        <w:bidi w:val="0"/>
        <w:adjustRightInd w:val="0"/>
        <w:snapToGrid w:val="0"/>
        <w:spacing w:line="580" w:lineRule="exact"/>
        <w:ind w:firstLine="640" w:firstLineChars="200"/>
        <w:rPr>
          <w:rFonts w:ascii="黑体" w:hAnsi="黑体" w:eastAsia="黑体"/>
          <w:szCs w:val="32"/>
        </w:rPr>
      </w:pPr>
      <w:r>
        <w:rPr>
          <w:rFonts w:hint="eastAsia" w:ascii="黑体" w:hAnsi="黑体" w:eastAsia="黑体"/>
          <w:szCs w:val="32"/>
        </w:rPr>
        <w:t>绩效自评工作开展情况</w:t>
      </w:r>
    </w:p>
    <w:p>
      <w:pPr>
        <w:keepNext w:val="0"/>
        <w:keepLines w:val="0"/>
        <w:pageBreakBefore w:val="0"/>
        <w:kinsoku/>
        <w:wordWrap/>
        <w:overflowPunct/>
        <w:autoSpaceDE/>
        <w:autoSpaceDN/>
        <w:bidi w:val="0"/>
        <w:adjustRightInd w:val="0"/>
        <w:snapToGrid w:val="0"/>
        <w:spacing w:line="580" w:lineRule="exact"/>
        <w:ind w:firstLine="640" w:firstLineChars="200"/>
        <w:rPr>
          <w:rFonts w:ascii="仿宋" w:hAnsi="仿宋" w:eastAsia="仿宋" w:cs="仿宋"/>
          <w:szCs w:val="32"/>
        </w:rPr>
      </w:pPr>
      <w:r>
        <w:rPr>
          <w:rFonts w:hint="eastAsia" w:ascii="仿宋" w:hAnsi="仿宋" w:eastAsia="仿宋" w:cs="仿宋"/>
          <w:szCs w:val="32"/>
        </w:rPr>
        <w:t>1</w:t>
      </w:r>
      <w:r>
        <w:rPr>
          <w:rFonts w:hint="eastAsia" w:ascii="仿宋" w:hAnsi="仿宋" w:eastAsia="仿宋" w:cs="仿宋"/>
          <w:szCs w:val="32"/>
          <w:lang w:eastAsia="zh-CN"/>
        </w:rPr>
        <w:t>.</w:t>
      </w:r>
      <w:r>
        <w:rPr>
          <w:rFonts w:hint="eastAsia" w:ascii="仿宋" w:hAnsi="仿宋" w:eastAsia="仿宋" w:cs="仿宋"/>
          <w:szCs w:val="32"/>
        </w:rPr>
        <w:t>为全面实施预算绩效管理，建立科学、合理的预算支出绩效评价体系，提高财政资源配置效率和使用效益，根据《益阳市财政局关于开展2022年度部门绩效自评工作的通知》精神，</w:t>
      </w:r>
      <w:r>
        <w:rPr>
          <w:rFonts w:hint="eastAsia" w:ascii="仿宋" w:hAnsi="仿宋" w:eastAsia="仿宋" w:cs="仿宋"/>
          <w:color w:val="000000"/>
          <w:szCs w:val="32"/>
        </w:rPr>
        <w:t>我局领导高度重视，</w:t>
      </w:r>
      <w:r>
        <w:rPr>
          <w:rFonts w:hint="eastAsia" w:ascii="仿宋" w:hAnsi="仿宋" w:eastAsia="仿宋" w:cs="仿宋"/>
          <w:szCs w:val="32"/>
        </w:rPr>
        <w:t>成立绩效评价工作组。项目由学校中小学教师发展中心专门负责执行。项目支出使用严格按财务管理制度执行，保证资金使用效率最大化。同时，学校也成立了由校长任组长，分管副校长任副组长，业务科室与财务部门参与的项目绩效评价工作组，对专项经费进行绩效自评。</w:t>
      </w:r>
    </w:p>
    <w:p>
      <w:pPr>
        <w:keepNext w:val="0"/>
        <w:keepLines w:val="0"/>
        <w:pageBreakBefore w:val="0"/>
        <w:kinsoku/>
        <w:wordWrap/>
        <w:overflowPunct/>
        <w:topLinePunct/>
        <w:autoSpaceDE/>
        <w:autoSpaceDN/>
        <w:bidi w:val="0"/>
        <w:spacing w:line="580" w:lineRule="exact"/>
        <w:ind w:firstLine="640" w:firstLineChars="200"/>
        <w:rPr>
          <w:rFonts w:ascii="仿宋" w:hAnsi="仿宋" w:eastAsia="仿宋" w:cs="仿宋"/>
          <w:szCs w:val="32"/>
        </w:rPr>
      </w:pPr>
      <w:r>
        <w:rPr>
          <w:rFonts w:hint="eastAsia" w:ascii="仿宋" w:hAnsi="仿宋" w:eastAsia="仿宋" w:cs="仿宋"/>
          <w:szCs w:val="32"/>
        </w:rPr>
        <w:t>2</w:t>
      </w:r>
      <w:r>
        <w:rPr>
          <w:rFonts w:hint="eastAsia" w:ascii="仿宋" w:hAnsi="仿宋" w:eastAsia="仿宋" w:cs="仿宋"/>
          <w:szCs w:val="32"/>
          <w:lang w:eastAsia="zh-CN"/>
        </w:rPr>
        <w:t>.</w:t>
      </w:r>
      <w:r>
        <w:rPr>
          <w:rFonts w:hint="eastAsia" w:ascii="仿宋" w:hAnsi="仿宋" w:eastAsia="仿宋" w:cs="仿宋"/>
          <w:szCs w:val="32"/>
        </w:rPr>
        <w:t>召开座谈会，对专项经费使用情况进行审计。听取省级示范教师培训机构创建专项经费的执行业务科室有关资金使用管理、项目实施管理及项目投资与任务完成等情况介绍，了解资金使用取得的绩效、存在的主要问题及建议等，在财务部门的配合下对资金的使用情况进行了审计。</w:t>
      </w:r>
    </w:p>
    <w:p>
      <w:pPr>
        <w:keepNext w:val="0"/>
        <w:keepLines w:val="0"/>
        <w:pageBreakBefore w:val="0"/>
        <w:kinsoku/>
        <w:wordWrap/>
        <w:overflowPunct/>
        <w:topLinePunct/>
        <w:autoSpaceDE/>
        <w:autoSpaceDN/>
        <w:bidi w:val="0"/>
        <w:spacing w:line="580" w:lineRule="exact"/>
        <w:ind w:firstLine="629"/>
        <w:rPr>
          <w:rFonts w:ascii="仿宋" w:hAnsi="仿宋" w:eastAsia="仿宋" w:cs="仿宋"/>
          <w:szCs w:val="32"/>
        </w:rPr>
      </w:pPr>
      <w:r>
        <w:rPr>
          <w:rFonts w:hint="eastAsia" w:ascii="仿宋" w:hAnsi="仿宋" w:eastAsia="仿宋" w:cs="仿宋"/>
          <w:szCs w:val="32"/>
        </w:rPr>
        <w:t>3</w:t>
      </w:r>
      <w:r>
        <w:rPr>
          <w:rFonts w:hint="eastAsia" w:ascii="仿宋" w:hAnsi="仿宋" w:eastAsia="仿宋" w:cs="仿宋"/>
          <w:szCs w:val="32"/>
          <w:lang w:eastAsia="zh-CN"/>
        </w:rPr>
        <w:t>.</w:t>
      </w:r>
      <w:r>
        <w:rPr>
          <w:rFonts w:hint="eastAsia" w:ascii="仿宋" w:hAnsi="仿宋" w:eastAsia="仿宋" w:cs="仿宋"/>
          <w:szCs w:val="32"/>
        </w:rPr>
        <w:t>项目专项经费使用情况。</w:t>
      </w:r>
    </w:p>
    <w:p>
      <w:pPr>
        <w:keepNext w:val="0"/>
        <w:keepLines w:val="0"/>
        <w:pageBreakBefore w:val="0"/>
        <w:kinsoku/>
        <w:wordWrap/>
        <w:overflowPunct/>
        <w:topLinePunct/>
        <w:autoSpaceDE/>
        <w:autoSpaceDN/>
        <w:bidi w:val="0"/>
        <w:spacing w:line="580" w:lineRule="exact"/>
        <w:ind w:firstLine="629"/>
        <w:rPr>
          <w:rFonts w:ascii="仿宋" w:hAnsi="仿宋" w:eastAsia="仿宋" w:cs="仿宋"/>
          <w:szCs w:val="32"/>
        </w:rPr>
      </w:pPr>
      <w:r>
        <w:rPr>
          <w:rFonts w:hint="eastAsia" w:ascii="仿宋" w:hAnsi="仿宋" w:eastAsia="仿宋" w:cs="仿宋"/>
          <w:szCs w:val="32"/>
          <w:lang w:eastAsia="zh-CN"/>
        </w:rPr>
        <w:t>益阳</w:t>
      </w:r>
      <w:r>
        <w:rPr>
          <w:rFonts w:hint="eastAsia" w:ascii="仿宋" w:hAnsi="仿宋" w:eastAsia="仿宋" w:cs="仿宋"/>
          <w:szCs w:val="32"/>
        </w:rPr>
        <w:t>开放大学近几年为提升办学条件，加快现代化开放大学建设进程，早日建成国家级示范性教师发展中心，利用省级示范教师培训机构创建专项经费不断在加大基本建设投入，先后投入1600万元进行了教学培训楼、住宿楼和校园主干道路及活动健身场所的提质改造。该专项经费的29.68万元主要用于学校12栋多媒体教室改造，剩余经费将用于2023年工程余款的支付。</w:t>
      </w:r>
    </w:p>
    <w:p>
      <w:pPr>
        <w:keepNext w:val="0"/>
        <w:keepLines w:val="0"/>
        <w:pageBreakBefore w:val="0"/>
        <w:kinsoku/>
        <w:wordWrap/>
        <w:overflowPunct/>
        <w:autoSpaceDE/>
        <w:autoSpaceDN/>
        <w:bidi w:val="0"/>
        <w:adjustRightInd w:val="0"/>
        <w:snapToGrid w:val="0"/>
        <w:spacing w:line="580" w:lineRule="exact"/>
        <w:ind w:firstLine="640" w:firstLineChars="200"/>
        <w:rPr>
          <w:rFonts w:ascii="黑体" w:hAnsi="黑体" w:eastAsia="黑体"/>
          <w:szCs w:val="32"/>
        </w:rPr>
      </w:pPr>
      <w:r>
        <w:rPr>
          <w:rFonts w:hint="eastAsia" w:ascii="黑体" w:hAnsi="黑体" w:eastAsia="黑体"/>
          <w:szCs w:val="32"/>
        </w:rPr>
        <w:t>三</w:t>
      </w:r>
      <w:r>
        <w:rPr>
          <w:rFonts w:ascii="黑体" w:hAnsi="黑体" w:eastAsia="黑体"/>
          <w:szCs w:val="32"/>
        </w:rPr>
        <w:t>、</w:t>
      </w:r>
      <w:r>
        <w:rPr>
          <w:rFonts w:hint="eastAsia" w:ascii="黑体" w:hAnsi="黑体" w:eastAsia="黑体"/>
          <w:szCs w:val="32"/>
        </w:rPr>
        <w:t>综合评价结论</w:t>
      </w:r>
    </w:p>
    <w:p>
      <w:pPr>
        <w:keepNext w:val="0"/>
        <w:keepLines w:val="0"/>
        <w:pageBreakBefore w:val="0"/>
        <w:kinsoku/>
        <w:wordWrap/>
        <w:overflowPunct/>
        <w:autoSpaceDE/>
        <w:autoSpaceDN/>
        <w:bidi w:val="0"/>
        <w:adjustRightInd w:val="0"/>
        <w:snapToGrid w:val="0"/>
        <w:spacing w:line="580" w:lineRule="exact"/>
        <w:ind w:firstLine="640" w:firstLineChars="200"/>
        <w:rPr>
          <w:rFonts w:ascii="仿宋" w:hAnsi="仿宋" w:eastAsia="仿宋" w:cs="仿宋"/>
        </w:rPr>
      </w:pPr>
      <w:r>
        <w:rPr>
          <w:rFonts w:hint="eastAsia" w:ascii="仿宋" w:hAnsi="仿宋" w:eastAsia="仿宋" w:cs="仿宋"/>
          <w:szCs w:val="32"/>
        </w:rPr>
        <w:t>根据该项目资金绩效评价指标体系和绩效检查情况，该项目整体绩效分值100分，实得95分。等级为：优秀。</w:t>
      </w:r>
    </w:p>
    <w:p>
      <w:pPr>
        <w:keepNext w:val="0"/>
        <w:keepLines w:val="0"/>
        <w:pageBreakBefore w:val="0"/>
        <w:kinsoku/>
        <w:wordWrap/>
        <w:overflowPunct/>
        <w:autoSpaceDE/>
        <w:autoSpaceDN/>
        <w:bidi w:val="0"/>
        <w:adjustRightInd w:val="0"/>
        <w:snapToGrid w:val="0"/>
        <w:spacing w:line="580" w:lineRule="exact"/>
        <w:ind w:firstLine="640" w:firstLineChars="200"/>
        <w:rPr>
          <w:rFonts w:ascii="黑体" w:hAnsi="黑体" w:eastAsia="黑体"/>
          <w:szCs w:val="32"/>
        </w:rPr>
      </w:pPr>
      <w:r>
        <w:rPr>
          <w:rFonts w:hint="eastAsia" w:ascii="黑体" w:hAnsi="黑体" w:eastAsia="黑体"/>
          <w:szCs w:val="32"/>
        </w:rPr>
        <w:t>四、绩效目标实现情况分析</w:t>
      </w:r>
    </w:p>
    <w:p>
      <w:pPr>
        <w:keepNext w:val="0"/>
        <w:keepLines w:val="0"/>
        <w:pageBreakBefore w:val="0"/>
        <w:widowControl/>
        <w:kinsoku/>
        <w:wordWrap/>
        <w:overflowPunct/>
        <w:autoSpaceDE/>
        <w:autoSpaceDN/>
        <w:bidi w:val="0"/>
        <w:spacing w:line="580" w:lineRule="exact"/>
        <w:ind w:firstLine="643" w:firstLineChars="200"/>
        <w:rPr>
          <w:rFonts w:hint="eastAsia" w:ascii="楷体_GB2312" w:hAnsi="仿宋" w:eastAsia="楷体_GB2312"/>
          <w:b/>
          <w:bCs/>
          <w:szCs w:val="32"/>
        </w:rPr>
      </w:pPr>
      <w:r>
        <w:rPr>
          <w:rFonts w:hint="eastAsia" w:ascii="楷体_GB2312" w:hAnsi="仿宋" w:eastAsia="楷体_GB2312"/>
          <w:b/>
          <w:bCs/>
          <w:szCs w:val="32"/>
        </w:rPr>
        <w:t>（一）项目资金使用及管理情况</w:t>
      </w:r>
    </w:p>
    <w:p>
      <w:pPr>
        <w:keepNext w:val="0"/>
        <w:keepLines w:val="0"/>
        <w:pageBreakBefore w:val="0"/>
        <w:kinsoku/>
        <w:wordWrap/>
        <w:overflowPunct/>
        <w:autoSpaceDE/>
        <w:autoSpaceDN/>
        <w:bidi w:val="0"/>
        <w:adjustRightInd w:val="0"/>
        <w:snapToGrid w:val="0"/>
        <w:spacing w:line="580" w:lineRule="exact"/>
        <w:ind w:firstLine="640" w:firstLineChars="200"/>
        <w:rPr>
          <w:rFonts w:ascii="仿宋" w:hAnsi="仿宋" w:eastAsia="仿宋" w:cs="仿宋"/>
          <w:szCs w:val="32"/>
        </w:rPr>
      </w:pPr>
      <w:r>
        <w:rPr>
          <w:rFonts w:hint="eastAsia" w:ascii="仿宋" w:hAnsi="仿宋" w:eastAsia="仿宋" w:cs="仿宋"/>
          <w:szCs w:val="32"/>
        </w:rPr>
        <w:t>1</w:t>
      </w:r>
      <w:r>
        <w:rPr>
          <w:rFonts w:hint="eastAsia" w:ascii="仿宋" w:hAnsi="仿宋" w:eastAsia="仿宋" w:cs="仿宋"/>
          <w:szCs w:val="32"/>
          <w:lang w:val="en-US" w:eastAsia="zh-CN"/>
        </w:rPr>
        <w:t>.</w:t>
      </w:r>
      <w:r>
        <w:rPr>
          <w:rFonts w:hint="eastAsia" w:ascii="仿宋" w:hAnsi="仿宋" w:eastAsia="仿宋" w:cs="仿宋"/>
          <w:szCs w:val="32"/>
        </w:rPr>
        <w:t>项目资金2022年预算金额为50万元，2022年项目资金总投入31.81万元，余额18.19万元。</w:t>
      </w:r>
    </w:p>
    <w:p>
      <w:pPr>
        <w:keepNext w:val="0"/>
        <w:keepLines w:val="0"/>
        <w:pageBreakBefore w:val="0"/>
        <w:kinsoku/>
        <w:wordWrap/>
        <w:overflowPunct/>
        <w:autoSpaceDE/>
        <w:autoSpaceDN/>
        <w:bidi w:val="0"/>
        <w:adjustRightInd w:val="0"/>
        <w:snapToGrid w:val="0"/>
        <w:spacing w:line="580" w:lineRule="exact"/>
        <w:ind w:firstLine="640" w:firstLineChars="200"/>
        <w:rPr>
          <w:rFonts w:ascii="仿宋" w:hAnsi="仿宋" w:eastAsia="仿宋" w:cs="仿宋"/>
          <w:szCs w:val="32"/>
        </w:rPr>
      </w:pPr>
      <w:r>
        <w:rPr>
          <w:rFonts w:hint="eastAsia" w:ascii="仿宋" w:hAnsi="仿宋" w:eastAsia="仿宋" w:cs="仿宋"/>
          <w:szCs w:val="32"/>
        </w:rPr>
        <w:t>2</w:t>
      </w:r>
      <w:r>
        <w:rPr>
          <w:rFonts w:hint="eastAsia" w:ascii="仿宋" w:hAnsi="仿宋" w:eastAsia="仿宋" w:cs="仿宋"/>
          <w:szCs w:val="32"/>
          <w:lang w:val="en-US" w:eastAsia="zh-CN"/>
        </w:rPr>
        <w:t>.</w:t>
      </w:r>
      <w:r>
        <w:rPr>
          <w:rFonts w:hint="eastAsia" w:ascii="仿宋" w:hAnsi="仿宋" w:eastAsia="仿宋" w:cs="仿宋"/>
          <w:szCs w:val="32"/>
        </w:rPr>
        <w:t>项目资金实际使用情况。</w:t>
      </w:r>
      <w:r>
        <w:rPr>
          <w:rFonts w:hint="eastAsia" w:ascii="仿宋" w:hAnsi="仿宋" w:eastAsia="仿宋" w:cs="仿宋"/>
          <w:szCs w:val="32"/>
          <w:lang w:eastAsia="zh-CN"/>
        </w:rPr>
        <w:t>益阳</w:t>
      </w:r>
      <w:r>
        <w:rPr>
          <w:rFonts w:hint="eastAsia" w:ascii="仿宋" w:hAnsi="仿宋" w:eastAsia="仿宋" w:cs="仿宋"/>
          <w:szCs w:val="32"/>
        </w:rPr>
        <w:t>开放大学当年实际用于示范教师培训机构创建中学校办学条件改善，多媒体教室改造29.68万元，市级骨干教师培训2.13万元。余额18.19万元用于2023年支付改造尾款。</w:t>
      </w:r>
    </w:p>
    <w:p>
      <w:pPr>
        <w:keepNext w:val="0"/>
        <w:keepLines w:val="0"/>
        <w:pageBreakBefore w:val="0"/>
        <w:kinsoku/>
        <w:wordWrap/>
        <w:overflowPunct/>
        <w:autoSpaceDE/>
        <w:autoSpaceDN/>
        <w:bidi w:val="0"/>
        <w:adjustRightInd w:val="0"/>
        <w:snapToGrid w:val="0"/>
        <w:spacing w:line="580" w:lineRule="exact"/>
        <w:ind w:firstLine="640" w:firstLineChars="200"/>
        <w:rPr>
          <w:rFonts w:ascii="仿宋_GB2312" w:hAnsi="仿宋"/>
          <w:szCs w:val="32"/>
        </w:rPr>
      </w:pPr>
      <w:r>
        <w:rPr>
          <w:rFonts w:hint="eastAsia" w:ascii="仿宋" w:hAnsi="仿宋" w:eastAsia="仿宋" w:cs="仿宋"/>
          <w:szCs w:val="32"/>
        </w:rPr>
        <w:t>3</w:t>
      </w:r>
      <w:r>
        <w:rPr>
          <w:rFonts w:hint="eastAsia" w:ascii="仿宋" w:hAnsi="仿宋" w:eastAsia="仿宋" w:cs="仿宋"/>
          <w:szCs w:val="32"/>
          <w:lang w:val="en-US" w:eastAsia="zh-CN"/>
        </w:rPr>
        <w:t>.</w:t>
      </w:r>
      <w:r>
        <w:rPr>
          <w:rFonts w:hint="eastAsia" w:ascii="仿宋" w:hAnsi="仿宋" w:eastAsia="仿宋" w:cs="仿宋"/>
          <w:szCs w:val="32"/>
        </w:rPr>
        <w:t>项目资金管理情况。</w:t>
      </w:r>
      <w:r>
        <w:rPr>
          <w:rFonts w:hint="eastAsia" w:ascii="仿宋" w:hAnsi="仿宋" w:eastAsia="仿宋" w:cs="仿宋"/>
          <w:szCs w:val="32"/>
          <w:lang w:eastAsia="zh-CN"/>
        </w:rPr>
        <w:t>益阳</w:t>
      </w:r>
      <w:r>
        <w:rPr>
          <w:rFonts w:hint="eastAsia" w:ascii="仿宋" w:hAnsi="仿宋" w:eastAsia="仿宋" w:cs="仿宋"/>
          <w:szCs w:val="32"/>
        </w:rPr>
        <w:t>开放大学对专项资金采用专款专用的财务管理制度，使用前有预算方案，预算过程有领导把关、部门专项负责、财务监督，使用后有会审联签组的审核，力争做到资金使用效率最大化。项目资金的拨付程序、费用开支范围及标准合规，相关手续较完善。</w:t>
      </w:r>
    </w:p>
    <w:p>
      <w:pPr>
        <w:keepNext w:val="0"/>
        <w:keepLines w:val="0"/>
        <w:pageBreakBefore w:val="0"/>
        <w:widowControl/>
        <w:kinsoku/>
        <w:wordWrap/>
        <w:overflowPunct/>
        <w:autoSpaceDE/>
        <w:autoSpaceDN/>
        <w:bidi w:val="0"/>
        <w:spacing w:line="580" w:lineRule="exact"/>
        <w:ind w:firstLine="643" w:firstLineChars="200"/>
        <w:rPr>
          <w:rFonts w:ascii="楷体_GB2312" w:hAnsi="仿宋" w:eastAsia="楷体_GB2312"/>
          <w:b/>
          <w:bCs/>
          <w:szCs w:val="32"/>
        </w:rPr>
      </w:pPr>
      <w:r>
        <w:rPr>
          <w:rFonts w:hint="eastAsia" w:ascii="楷体_GB2312" w:hAnsi="仿宋" w:eastAsia="楷体_GB2312"/>
          <w:b/>
          <w:bCs/>
          <w:szCs w:val="32"/>
        </w:rPr>
        <w:t>（二）总体绩效目标完成情况分析</w:t>
      </w:r>
    </w:p>
    <w:p>
      <w:pPr>
        <w:pStyle w:val="7"/>
        <w:keepNext w:val="0"/>
        <w:keepLines w:val="0"/>
        <w:pageBreakBefore w:val="0"/>
        <w:kinsoku/>
        <w:wordWrap/>
        <w:overflowPunct/>
        <w:autoSpaceDE/>
        <w:autoSpaceDN/>
        <w:bidi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在做好疫情防控的情况下，采用“集中培训、线上直播、送培到校”等多渠道、多形式的培训方式，共申报、立项并承办各级各类培训20多个，线上线下培训总人数7500多人次（80%以上都是乡村教师）。在13所中小学校（幼儿园）建立益阳市中小学教师发展中心研训基地校（园），产生了良好的社会影响。</w:t>
      </w:r>
    </w:p>
    <w:p>
      <w:pPr>
        <w:keepNext w:val="0"/>
        <w:keepLines w:val="0"/>
        <w:pageBreakBefore w:val="0"/>
        <w:widowControl/>
        <w:kinsoku/>
        <w:wordWrap/>
        <w:overflowPunct/>
        <w:autoSpaceDE/>
        <w:autoSpaceDN/>
        <w:bidi w:val="0"/>
        <w:spacing w:line="580" w:lineRule="exact"/>
        <w:ind w:firstLine="643" w:firstLineChars="200"/>
        <w:rPr>
          <w:rFonts w:hint="eastAsia" w:ascii="楷体_GB2312" w:hAnsi="仿宋" w:eastAsia="楷体_GB2312"/>
          <w:b/>
          <w:bCs/>
          <w:szCs w:val="32"/>
        </w:rPr>
      </w:pPr>
      <w:r>
        <w:rPr>
          <w:rFonts w:hint="eastAsia" w:ascii="楷体_GB2312" w:hAnsi="仿宋" w:eastAsia="楷体_GB2312"/>
          <w:b/>
          <w:bCs/>
          <w:szCs w:val="32"/>
        </w:rPr>
        <w:t>（三）绩效指标完成情况分析</w:t>
      </w:r>
    </w:p>
    <w:p>
      <w:pPr>
        <w:keepNext w:val="0"/>
        <w:keepLines w:val="0"/>
        <w:pageBreakBefore w:val="0"/>
        <w:kinsoku/>
        <w:wordWrap/>
        <w:overflowPunct/>
        <w:autoSpaceDE/>
        <w:autoSpaceDN/>
        <w:bidi w:val="0"/>
        <w:adjustRightInd w:val="0"/>
        <w:snapToGrid w:val="0"/>
        <w:spacing w:line="580" w:lineRule="exact"/>
        <w:ind w:firstLine="640" w:firstLineChars="200"/>
        <w:rPr>
          <w:rFonts w:ascii="仿宋" w:hAnsi="仿宋" w:eastAsia="仿宋" w:cs="仿宋"/>
          <w:szCs w:val="32"/>
        </w:rPr>
      </w:pPr>
      <w:r>
        <w:rPr>
          <w:rFonts w:hint="eastAsia" w:ascii="仿宋" w:hAnsi="仿宋" w:eastAsia="仿宋" w:cs="仿宋"/>
          <w:szCs w:val="32"/>
        </w:rPr>
        <w:t>学校对专项资金的使用规范，按财务预算管理制度执行，资金使用率高，为全面深入贯彻党的教育方针，落实立德树人根本任务，发挥市级优秀教育资源的辐射作用，促进区域教师队伍建设，助力区域教育教学质量提升做出了较大的贡献。</w:t>
      </w:r>
    </w:p>
    <w:p>
      <w:pPr>
        <w:keepNext w:val="0"/>
        <w:keepLines w:val="0"/>
        <w:pageBreakBefore w:val="0"/>
        <w:kinsoku/>
        <w:wordWrap/>
        <w:overflowPunct/>
        <w:autoSpaceDE/>
        <w:autoSpaceDN/>
        <w:bidi w:val="0"/>
        <w:adjustRightInd w:val="0"/>
        <w:snapToGrid w:val="0"/>
        <w:spacing w:line="580" w:lineRule="exact"/>
        <w:ind w:firstLine="640" w:firstLineChars="200"/>
        <w:rPr>
          <w:rFonts w:ascii="黑体" w:hAnsi="黑体" w:eastAsia="黑体"/>
          <w:szCs w:val="32"/>
        </w:rPr>
      </w:pPr>
      <w:r>
        <w:rPr>
          <w:rFonts w:hint="eastAsia" w:ascii="黑体" w:hAnsi="黑体" w:eastAsia="黑体"/>
          <w:szCs w:val="32"/>
        </w:rPr>
        <w:t>五、存在的问题和改进措施</w:t>
      </w:r>
    </w:p>
    <w:p>
      <w:pPr>
        <w:keepNext w:val="0"/>
        <w:keepLines w:val="0"/>
        <w:pageBreakBefore w:val="0"/>
        <w:kinsoku/>
        <w:wordWrap/>
        <w:overflowPunct/>
        <w:autoSpaceDE/>
        <w:autoSpaceDN/>
        <w:bidi w:val="0"/>
        <w:adjustRightInd w:val="0"/>
        <w:snapToGrid w:val="0"/>
        <w:spacing w:line="580" w:lineRule="exact"/>
        <w:ind w:firstLine="640" w:firstLineChars="200"/>
        <w:rPr>
          <w:rFonts w:ascii="仿宋" w:hAnsi="仿宋" w:eastAsia="仿宋" w:cs="仿宋"/>
          <w:szCs w:val="32"/>
        </w:rPr>
      </w:pPr>
      <w:r>
        <w:rPr>
          <w:rFonts w:hint="eastAsia" w:ascii="仿宋" w:hAnsi="仿宋" w:eastAsia="仿宋" w:cs="仿宋"/>
          <w:szCs w:val="32"/>
        </w:rPr>
        <w:t>1</w:t>
      </w:r>
      <w:r>
        <w:rPr>
          <w:rFonts w:hint="eastAsia" w:ascii="仿宋" w:hAnsi="仿宋" w:eastAsia="仿宋" w:cs="仿宋"/>
          <w:szCs w:val="32"/>
          <w:lang w:eastAsia="zh-CN"/>
        </w:rPr>
        <w:t>.</w:t>
      </w:r>
      <w:r>
        <w:rPr>
          <w:rFonts w:hint="eastAsia" w:ascii="仿宋" w:hAnsi="仿宋" w:eastAsia="仿宋" w:cs="仿宋"/>
          <w:szCs w:val="32"/>
        </w:rPr>
        <w:t>学校办学硬件设施与国家级示范性教师发展中心有较大差距，也不能满足目前进行的各项培训工作。学校除了进行教师培训工作，还承担了全市农民大学生培养工作、基层人才培养工作、干部网络学习培训工作、基层党员培训工作，培训任务重，场地和设施使用紧张，因此仍需改建一处新的报告厅和培训住宿楼。</w:t>
      </w:r>
    </w:p>
    <w:p>
      <w:pPr>
        <w:keepNext w:val="0"/>
        <w:keepLines w:val="0"/>
        <w:pageBreakBefore w:val="0"/>
        <w:kinsoku/>
        <w:wordWrap/>
        <w:overflowPunct/>
        <w:autoSpaceDE/>
        <w:autoSpaceDN/>
        <w:bidi w:val="0"/>
        <w:adjustRightInd w:val="0"/>
        <w:snapToGrid w:val="0"/>
        <w:spacing w:line="580" w:lineRule="exact"/>
        <w:ind w:firstLine="640" w:firstLineChars="200"/>
        <w:rPr>
          <w:rFonts w:ascii="仿宋" w:hAnsi="仿宋" w:eastAsia="仿宋" w:cs="仿宋"/>
          <w:szCs w:val="32"/>
        </w:rPr>
      </w:pPr>
      <w:r>
        <w:rPr>
          <w:rFonts w:hint="eastAsia" w:ascii="仿宋" w:hAnsi="仿宋" w:eastAsia="仿宋" w:cs="仿宋"/>
          <w:szCs w:val="32"/>
        </w:rPr>
        <w:t>2</w:t>
      </w:r>
      <w:r>
        <w:rPr>
          <w:rFonts w:hint="eastAsia" w:ascii="仿宋" w:hAnsi="仿宋" w:eastAsia="仿宋" w:cs="仿宋"/>
          <w:szCs w:val="32"/>
          <w:lang w:eastAsia="zh-CN"/>
        </w:rPr>
        <w:t>.</w:t>
      </w:r>
      <w:r>
        <w:rPr>
          <w:rFonts w:hint="eastAsia" w:ascii="仿宋" w:hAnsi="仿宋" w:eastAsia="仿宋" w:cs="仿宋"/>
          <w:szCs w:val="32"/>
        </w:rPr>
        <w:t>财政投入存在不足。为创建国家示范性教师发展中心和服务全市教育事业发展，学校不断加强基本建设，近几年先后对培训楼、住宿楼、校园主干道、报告厅、活动健身场所进行了全面提质改造。为按照国家级示范性教师发展中心标准进一步改善教师培训设施，加上从2022年起全面取消市级教师培训项目收费，我校教师发展中心亟需发展过程中的经费支持，还有待逐年递增该项目的财政预算。</w:t>
      </w:r>
    </w:p>
    <w:p>
      <w:pPr>
        <w:keepNext w:val="0"/>
        <w:keepLines w:val="0"/>
        <w:pageBreakBefore w:val="0"/>
        <w:kinsoku/>
        <w:wordWrap/>
        <w:overflowPunct/>
        <w:autoSpaceDE/>
        <w:autoSpaceDN/>
        <w:bidi w:val="0"/>
        <w:spacing w:line="580" w:lineRule="exact"/>
        <w:ind w:firstLine="640" w:firstLineChars="200"/>
        <w:rPr>
          <w:rFonts w:ascii="黑体" w:hAnsi="黑体" w:eastAsia="黑体" w:cs="黑体"/>
          <w:b w:val="0"/>
          <w:bCs w:val="0"/>
          <w:color w:val="000000"/>
          <w:szCs w:val="32"/>
        </w:rPr>
      </w:pPr>
      <w:r>
        <w:rPr>
          <w:rFonts w:hint="eastAsia" w:ascii="黑体" w:hAnsi="黑体" w:eastAsia="黑体" w:cs="黑体"/>
          <w:b w:val="0"/>
          <w:bCs w:val="0"/>
          <w:color w:val="000000"/>
          <w:szCs w:val="32"/>
        </w:rPr>
        <w:t>六、绩效自评结果拟应用和公开情况</w:t>
      </w:r>
    </w:p>
    <w:p>
      <w:pPr>
        <w:keepNext w:val="0"/>
        <w:keepLines w:val="0"/>
        <w:pageBreakBefore w:val="0"/>
        <w:widowControl/>
        <w:kinsoku/>
        <w:wordWrap/>
        <w:overflowPunct/>
        <w:autoSpaceDE/>
        <w:autoSpaceDN/>
        <w:bidi w:val="0"/>
        <w:spacing w:line="580" w:lineRule="exact"/>
        <w:ind w:firstLine="640" w:firstLineChars="200"/>
        <w:jc w:val="left"/>
        <w:rPr>
          <w:rFonts w:hint="eastAsia" w:ascii="仿宋" w:hAnsi="仿宋" w:eastAsia="仿宋" w:cs="仿宋"/>
          <w:szCs w:val="32"/>
          <w:lang w:eastAsia="zh-CN"/>
        </w:rPr>
      </w:pPr>
      <w:r>
        <w:rPr>
          <w:rFonts w:hint="eastAsia" w:ascii="仿宋" w:hAnsi="仿宋" w:eastAsia="仿宋" w:cs="仿宋"/>
          <w:szCs w:val="32"/>
        </w:rPr>
        <w:t>1.针对绩效自评中发现的问题制定切实可行的整改措施并落实到位</w:t>
      </w:r>
      <w:r>
        <w:rPr>
          <w:rFonts w:hint="eastAsia" w:ascii="仿宋" w:hAnsi="仿宋" w:eastAsia="仿宋" w:cs="仿宋"/>
          <w:szCs w:val="32"/>
          <w:lang w:eastAsia="zh-CN"/>
        </w:rPr>
        <w:t>。</w:t>
      </w:r>
    </w:p>
    <w:p>
      <w:pPr>
        <w:keepNext w:val="0"/>
        <w:keepLines w:val="0"/>
        <w:pageBreakBefore w:val="0"/>
        <w:kinsoku/>
        <w:wordWrap/>
        <w:overflowPunct/>
        <w:topLinePunct/>
        <w:autoSpaceDE/>
        <w:autoSpaceDN/>
        <w:bidi w:val="0"/>
        <w:spacing w:line="580" w:lineRule="exact"/>
        <w:ind w:firstLine="629"/>
        <w:rPr>
          <w:rFonts w:ascii="仿宋" w:hAnsi="仿宋" w:eastAsia="仿宋" w:cs="仿宋"/>
          <w:szCs w:val="32"/>
        </w:rPr>
      </w:pPr>
      <w:r>
        <w:rPr>
          <w:rFonts w:hint="eastAsia" w:ascii="仿宋" w:hAnsi="仿宋" w:eastAsia="仿宋" w:cs="仿宋"/>
          <w:szCs w:val="32"/>
        </w:rPr>
        <w:t>2.市直教育单位自评结果将应用到下一年度的资金安排和项目立项。</w:t>
      </w:r>
    </w:p>
    <w:p>
      <w:pPr>
        <w:keepNext w:val="0"/>
        <w:keepLines w:val="0"/>
        <w:pageBreakBefore w:val="0"/>
        <w:kinsoku/>
        <w:wordWrap/>
        <w:overflowPunct/>
        <w:topLinePunct/>
        <w:autoSpaceDE/>
        <w:autoSpaceDN/>
        <w:bidi w:val="0"/>
        <w:spacing w:line="580" w:lineRule="exact"/>
        <w:ind w:firstLine="629"/>
        <w:rPr>
          <w:rFonts w:ascii="仿宋" w:hAnsi="仿宋" w:eastAsia="仿宋" w:cs="仿宋"/>
          <w:szCs w:val="32"/>
        </w:rPr>
      </w:pPr>
      <w:r>
        <w:rPr>
          <w:rFonts w:hint="eastAsia" w:ascii="仿宋" w:hAnsi="仿宋" w:eastAsia="仿宋" w:cs="仿宋"/>
          <w:szCs w:val="32"/>
        </w:rPr>
        <w:t>3.绩效自评报告在益阳</w:t>
      </w:r>
      <w:r>
        <w:rPr>
          <w:rFonts w:hint="eastAsia" w:ascii="仿宋" w:hAnsi="仿宋" w:eastAsia="仿宋" w:cs="仿宋"/>
          <w:szCs w:val="32"/>
          <w:lang w:eastAsia="zh-CN"/>
        </w:rPr>
        <w:t>市</w:t>
      </w:r>
      <w:r>
        <w:rPr>
          <w:rFonts w:hint="eastAsia" w:ascii="仿宋" w:hAnsi="仿宋" w:eastAsia="仿宋" w:cs="仿宋"/>
          <w:szCs w:val="32"/>
        </w:rPr>
        <w:t>教育</w:t>
      </w:r>
      <w:r>
        <w:rPr>
          <w:rFonts w:hint="eastAsia" w:ascii="仿宋" w:hAnsi="仿宋" w:eastAsia="仿宋" w:cs="仿宋"/>
          <w:szCs w:val="32"/>
          <w:lang w:eastAsia="zh-CN"/>
        </w:rPr>
        <w:t>局官</w:t>
      </w:r>
      <w:r>
        <w:rPr>
          <w:rFonts w:hint="eastAsia" w:ascii="仿宋" w:hAnsi="仿宋" w:eastAsia="仿宋" w:cs="仿宋"/>
          <w:szCs w:val="32"/>
        </w:rPr>
        <w:t>网公开，接受广大群众监督。</w:t>
      </w:r>
    </w:p>
    <w:p>
      <w:pPr>
        <w:keepNext w:val="0"/>
        <w:keepLines w:val="0"/>
        <w:pageBreakBefore w:val="0"/>
        <w:kinsoku/>
        <w:wordWrap/>
        <w:overflowPunct/>
        <w:autoSpaceDE/>
        <w:autoSpaceDN/>
        <w:bidi w:val="0"/>
        <w:spacing w:line="580" w:lineRule="exact"/>
        <w:ind w:firstLine="64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七、其他需要说明的问题</w:t>
      </w:r>
    </w:p>
    <w:p>
      <w:pPr>
        <w:keepNext w:val="0"/>
        <w:keepLines w:val="0"/>
        <w:pageBreakBefore w:val="0"/>
        <w:kinsoku/>
        <w:wordWrap/>
        <w:overflowPunct/>
        <w:autoSpaceDE/>
        <w:autoSpaceDN/>
        <w:bidi w:val="0"/>
        <w:adjustRightInd w:val="0"/>
        <w:snapToGrid w:val="0"/>
        <w:spacing w:line="580" w:lineRule="exact"/>
        <w:ind w:firstLine="640" w:firstLineChars="200"/>
        <w:rPr>
          <w:rFonts w:ascii="仿宋_GB2312" w:hAnsi="仿宋"/>
          <w:szCs w:val="32"/>
        </w:rPr>
      </w:pPr>
      <w:r>
        <w:rPr>
          <w:rFonts w:hint="eastAsia" w:ascii="仿宋_GB2312" w:hAnsi="仿宋"/>
          <w:szCs w:val="32"/>
        </w:rPr>
        <w:t>无</w:t>
      </w:r>
      <w:r>
        <w:rPr>
          <w:rFonts w:hint="eastAsia" w:ascii="仿宋_GB2312" w:hAnsi="仿宋"/>
          <w:szCs w:val="32"/>
          <w:lang w:eastAsia="zh-CN"/>
        </w:rPr>
        <w:t>。</w:t>
      </w:r>
    </w:p>
    <w:p>
      <w:pPr>
        <w:keepNext w:val="0"/>
        <w:keepLines w:val="0"/>
        <w:pageBreakBefore w:val="0"/>
        <w:kinsoku/>
        <w:wordWrap/>
        <w:overflowPunct/>
        <w:topLinePunct/>
        <w:autoSpaceDE/>
        <w:autoSpaceDN/>
        <w:bidi w:val="0"/>
        <w:spacing w:line="580" w:lineRule="exact"/>
        <w:ind w:left="0" w:firstLine="629"/>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2022年度</w:t>
      </w:r>
      <w:r>
        <w:rPr>
          <w:rFonts w:hint="eastAsia" w:ascii="仿宋" w:hAnsi="仿宋" w:eastAsia="仿宋" w:cs="仿宋"/>
          <w:sz w:val="32"/>
          <w:szCs w:val="32"/>
        </w:rPr>
        <w:t>项目支出绩效自评表</w:t>
      </w:r>
    </w:p>
    <w:p>
      <w:pPr>
        <w:keepNext w:val="0"/>
        <w:keepLines w:val="0"/>
        <w:pageBreakBefore w:val="0"/>
        <w:kinsoku/>
        <w:wordWrap/>
        <w:overflowPunct/>
        <w:autoSpaceDE/>
        <w:autoSpaceDN/>
        <w:bidi w:val="0"/>
        <w:adjustRightInd w:val="0"/>
        <w:snapToGrid w:val="0"/>
        <w:spacing w:line="580" w:lineRule="exact"/>
        <w:ind w:left="0" w:leftChars="0" w:firstLine="5920" w:firstLineChars="1850"/>
        <w:rPr>
          <w:rFonts w:hint="eastAsia" w:ascii="仿宋_GB2312" w:hAnsi="仿宋"/>
          <w:szCs w:val="32"/>
        </w:rPr>
      </w:pPr>
    </w:p>
    <w:p>
      <w:pPr>
        <w:keepNext w:val="0"/>
        <w:keepLines w:val="0"/>
        <w:pageBreakBefore w:val="0"/>
        <w:kinsoku/>
        <w:wordWrap/>
        <w:overflowPunct/>
        <w:autoSpaceDE/>
        <w:autoSpaceDN/>
        <w:bidi w:val="0"/>
        <w:adjustRightInd w:val="0"/>
        <w:snapToGrid w:val="0"/>
        <w:spacing w:line="580" w:lineRule="exact"/>
        <w:ind w:left="0" w:leftChars="0" w:firstLine="5920" w:firstLineChars="1850"/>
        <w:rPr>
          <w:rFonts w:ascii="仿宋_GB2312" w:hAnsi="仿宋"/>
          <w:szCs w:val="32"/>
        </w:rPr>
      </w:pPr>
      <w:r>
        <w:rPr>
          <w:rFonts w:hint="eastAsia" w:ascii="仿宋_GB2312" w:hAnsi="仿宋"/>
          <w:szCs w:val="32"/>
        </w:rPr>
        <w:t>益阳市教育局</w:t>
      </w:r>
    </w:p>
    <w:p>
      <w:pPr>
        <w:keepNext w:val="0"/>
        <w:keepLines w:val="0"/>
        <w:pageBreakBefore w:val="0"/>
        <w:kinsoku/>
        <w:wordWrap/>
        <w:overflowPunct/>
        <w:autoSpaceDE/>
        <w:autoSpaceDN/>
        <w:bidi w:val="0"/>
        <w:adjustRightInd w:val="0"/>
        <w:snapToGrid w:val="0"/>
        <w:spacing w:line="580" w:lineRule="exact"/>
        <w:ind w:firstLine="5760" w:firstLineChars="1800"/>
        <w:rPr>
          <w:rFonts w:ascii="仿宋_GB2312" w:hAnsi="仿宋"/>
          <w:szCs w:val="32"/>
        </w:rPr>
      </w:pPr>
      <w:r>
        <w:rPr>
          <w:rFonts w:hint="eastAsia" w:ascii="仿宋_GB2312" w:hAnsi="仿宋"/>
          <w:szCs w:val="32"/>
        </w:rPr>
        <w:t>2023年3月18日</w:t>
      </w:r>
    </w:p>
    <w:p>
      <w:pPr>
        <w:adjustRightInd w:val="0"/>
        <w:snapToGrid w:val="0"/>
        <w:spacing w:line="600" w:lineRule="exact"/>
        <w:ind w:firstLine="640" w:firstLineChars="200"/>
        <w:rPr>
          <w:rFonts w:ascii="仿宋_GB2312" w:hAnsi="仿宋"/>
          <w:szCs w:val="32"/>
        </w:rPr>
      </w:pPr>
    </w:p>
    <w:p>
      <w:pPr>
        <w:adjustRightInd w:val="0"/>
        <w:snapToGrid w:val="0"/>
        <w:spacing w:line="600" w:lineRule="exact"/>
        <w:ind w:firstLine="640" w:firstLineChars="200"/>
        <w:rPr>
          <w:rFonts w:ascii="仿宋_GB2312" w:hAnsi="仿宋"/>
          <w:szCs w:val="32"/>
        </w:rPr>
      </w:pPr>
    </w:p>
    <w:p>
      <w:pPr>
        <w:adjustRightInd w:val="0"/>
        <w:snapToGrid w:val="0"/>
        <w:spacing w:line="600" w:lineRule="exact"/>
        <w:ind w:firstLine="640" w:firstLineChars="200"/>
        <w:rPr>
          <w:rFonts w:ascii="仿宋_GB2312" w:hAnsi="仿宋"/>
          <w:szCs w:val="32"/>
        </w:rPr>
      </w:pPr>
    </w:p>
    <w:p>
      <w:pPr>
        <w:pStyle w:val="2"/>
        <w:rPr>
          <w:rFonts w:ascii="仿宋_GB2312" w:hAnsi="仿宋"/>
          <w:szCs w:val="32"/>
        </w:rPr>
      </w:pPr>
    </w:p>
    <w:p>
      <w:pPr>
        <w:adjustRightInd w:val="0"/>
        <w:snapToGrid w:val="0"/>
        <w:spacing w:line="600" w:lineRule="exact"/>
        <w:ind w:firstLine="640" w:firstLineChars="200"/>
        <w:rPr>
          <w:rFonts w:ascii="仿宋_GB2312" w:hAnsi="仿宋"/>
          <w:szCs w:val="32"/>
        </w:rPr>
      </w:pPr>
    </w:p>
    <w:p>
      <w:pPr>
        <w:adjustRightInd w:val="0"/>
        <w:snapToGrid w:val="0"/>
        <w:spacing w:line="600" w:lineRule="exact"/>
        <w:ind w:firstLine="640" w:firstLineChars="200"/>
        <w:rPr>
          <w:rFonts w:ascii="仿宋_GB2312" w:hAnsi="仿宋"/>
          <w:szCs w:val="32"/>
        </w:rPr>
      </w:pPr>
    </w:p>
    <w:p>
      <w:pPr>
        <w:widowControl/>
        <w:spacing w:line="400" w:lineRule="exact"/>
        <w:jc w:val="both"/>
        <w:rPr>
          <w:rFonts w:ascii="Times New Roman" w:hAnsi="Times New Roman" w:eastAsia="方正小标宋_GBK"/>
          <w:color w:val="000000"/>
          <w:kern w:val="0"/>
          <w:sz w:val="15"/>
          <w:szCs w:val="15"/>
        </w:rPr>
      </w:pPr>
      <w:bookmarkStart w:id="0" w:name="_GoBack"/>
      <w:bookmarkEnd w:id="0"/>
    </w:p>
    <w:p>
      <w:pPr>
        <w:widowControl/>
        <w:spacing w:line="240" w:lineRule="auto"/>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2022年度项目支出绩效自评表</w:t>
      </w:r>
    </w:p>
    <w:tbl>
      <w:tblPr>
        <w:tblStyle w:val="5"/>
        <w:tblW w:w="9160" w:type="dxa"/>
        <w:jc w:val="center"/>
        <w:tblLayout w:type="fixed"/>
        <w:tblCellMar>
          <w:top w:w="0" w:type="dxa"/>
          <w:left w:w="108" w:type="dxa"/>
          <w:bottom w:w="0" w:type="dxa"/>
          <w:right w:w="108" w:type="dxa"/>
        </w:tblCellMar>
      </w:tblPr>
      <w:tblGrid>
        <w:gridCol w:w="1005"/>
        <w:gridCol w:w="1005"/>
        <w:gridCol w:w="1003"/>
        <w:gridCol w:w="1547"/>
        <w:gridCol w:w="967"/>
        <w:gridCol w:w="847"/>
        <w:gridCol w:w="657"/>
        <w:gridCol w:w="811"/>
        <w:gridCol w:w="2"/>
        <w:gridCol w:w="1316"/>
      </w:tblGrid>
      <w:tr>
        <w:tblPrEx>
          <w:tblCellMar>
            <w:top w:w="0" w:type="dxa"/>
            <w:left w:w="108" w:type="dxa"/>
            <w:bottom w:w="0" w:type="dxa"/>
            <w:right w:w="108" w:type="dxa"/>
          </w:tblCellMar>
        </w:tblPrEx>
        <w:trPr>
          <w:trHeight w:val="509"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项目名称</w:t>
            </w:r>
          </w:p>
        </w:tc>
        <w:tc>
          <w:tcPr>
            <w:tcW w:w="8155" w:type="dxa"/>
            <w:gridSpan w:val="9"/>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教育强市重点项目（示范教师培训机构创建经费）</w:t>
            </w:r>
            <w:r>
              <w:rPr>
                <w:rFonts w:ascii="Times New Roman" w:hAnsi="Times New Roman"/>
                <w:color w:val="000000"/>
                <w:kern w:val="0"/>
                <w:sz w:val="15"/>
                <w:szCs w:val="15"/>
              </w:rPr>
              <w:t>　</w:t>
            </w:r>
          </w:p>
        </w:tc>
      </w:tr>
      <w:tr>
        <w:tblPrEx>
          <w:tblCellMar>
            <w:top w:w="0" w:type="dxa"/>
            <w:left w:w="108" w:type="dxa"/>
            <w:bottom w:w="0" w:type="dxa"/>
            <w:right w:w="108" w:type="dxa"/>
          </w:tblCellMar>
        </w:tblPrEx>
        <w:trPr>
          <w:trHeight w:val="297"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主管部门</w:t>
            </w:r>
          </w:p>
        </w:tc>
        <w:tc>
          <w:tcPr>
            <w:tcW w:w="452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益阳市教育局</w:t>
            </w:r>
          </w:p>
        </w:tc>
        <w:tc>
          <w:tcPr>
            <w:tcW w:w="847"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实施单位</w:t>
            </w:r>
          </w:p>
        </w:tc>
        <w:tc>
          <w:tcPr>
            <w:tcW w:w="2786"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益阳开放大学</w:t>
            </w:r>
          </w:p>
        </w:tc>
      </w:tr>
      <w:tr>
        <w:tblPrEx>
          <w:tblCellMar>
            <w:top w:w="0" w:type="dxa"/>
            <w:left w:w="108" w:type="dxa"/>
            <w:bottom w:w="0" w:type="dxa"/>
            <w:right w:w="108" w:type="dxa"/>
          </w:tblCellMar>
        </w:tblPrEx>
        <w:trPr>
          <w:trHeight w:val="562" w:hRule="atLeast"/>
          <w:jc w:val="center"/>
        </w:trPr>
        <w:tc>
          <w:tcPr>
            <w:tcW w:w="100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olor w:val="000000"/>
                <w:kern w:val="0"/>
                <w:sz w:val="15"/>
                <w:szCs w:val="15"/>
                <w:lang w:eastAsia="zh-CN"/>
              </w:rPr>
            </w:pPr>
            <w:r>
              <w:rPr>
                <w:rFonts w:ascii="Times New Roman" w:hAnsi="Times New Roman"/>
                <w:color w:val="000000"/>
                <w:kern w:val="0"/>
                <w:sz w:val="15"/>
                <w:szCs w:val="15"/>
              </w:rPr>
              <w:t>项目资金</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（万元）</w:t>
            </w: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年初</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预算数</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全年</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预算数</w:t>
            </w:r>
          </w:p>
        </w:tc>
        <w:tc>
          <w:tcPr>
            <w:tcW w:w="84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ascii="Times New Roman" w:hAnsi="Times New Roman"/>
                <w:sz w:val="15"/>
                <w:szCs w:val="15"/>
              </w:rPr>
            </w:pPr>
            <w:r>
              <w:rPr>
                <w:rFonts w:ascii="Times New Roman" w:hAnsi="Times New Roman"/>
                <w:sz w:val="15"/>
                <w:szCs w:val="15"/>
              </w:rPr>
              <w:t>全年</w:t>
            </w:r>
          </w:p>
          <w:p>
            <w:pPr>
              <w:keepNext w:val="0"/>
              <w:keepLines w:val="0"/>
              <w:pageBreakBefore w:val="0"/>
              <w:kinsoku/>
              <w:wordWrap/>
              <w:overflowPunct/>
              <w:topLinePunct w:val="0"/>
              <w:autoSpaceDE/>
              <w:autoSpaceDN/>
              <w:bidi w:val="0"/>
              <w:adjustRightInd/>
              <w:snapToGrid/>
              <w:spacing w:line="0" w:lineRule="atLeast"/>
              <w:jc w:val="center"/>
              <w:textAlignment w:val="auto"/>
              <w:rPr>
                <w:rFonts w:ascii="Times New Roman" w:hAnsi="Times New Roman"/>
                <w:sz w:val="15"/>
                <w:szCs w:val="15"/>
              </w:rPr>
            </w:pPr>
            <w:r>
              <w:rPr>
                <w:rFonts w:ascii="Times New Roman" w:hAnsi="Times New Roman"/>
                <w:sz w:val="15"/>
                <w:szCs w:val="15"/>
              </w:rPr>
              <w:t>执行数</w:t>
            </w:r>
          </w:p>
        </w:tc>
        <w:tc>
          <w:tcPr>
            <w:tcW w:w="65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ascii="Times New Roman" w:hAnsi="Times New Roman"/>
                <w:sz w:val="15"/>
                <w:szCs w:val="15"/>
              </w:rPr>
            </w:pPr>
            <w:r>
              <w:rPr>
                <w:rFonts w:ascii="Times New Roman" w:hAnsi="Times New Roman"/>
                <w:sz w:val="15"/>
                <w:szCs w:val="15"/>
              </w:rPr>
              <w:t>分值</w:t>
            </w:r>
          </w:p>
        </w:tc>
        <w:tc>
          <w:tcPr>
            <w:tcW w:w="81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ascii="Times New Roman" w:hAnsi="Times New Roman"/>
                <w:sz w:val="15"/>
                <w:szCs w:val="15"/>
              </w:rPr>
            </w:pPr>
            <w:r>
              <w:rPr>
                <w:rFonts w:ascii="Times New Roman" w:hAnsi="Times New Roman"/>
                <w:sz w:val="15"/>
                <w:szCs w:val="15"/>
              </w:rPr>
              <w:t>执行率</w:t>
            </w:r>
          </w:p>
        </w:tc>
        <w:tc>
          <w:tcPr>
            <w:tcW w:w="1318"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ascii="Times New Roman" w:hAnsi="Times New Roman"/>
                <w:sz w:val="15"/>
                <w:szCs w:val="15"/>
              </w:rPr>
            </w:pPr>
            <w:r>
              <w:rPr>
                <w:rFonts w:ascii="Times New Roman" w:hAnsi="Times New Roman"/>
                <w:sz w:val="15"/>
                <w:szCs w:val="15"/>
              </w:rPr>
              <w:t>得分</w:t>
            </w:r>
          </w:p>
        </w:tc>
      </w:tr>
      <w:tr>
        <w:tblPrEx>
          <w:tblCellMar>
            <w:top w:w="0" w:type="dxa"/>
            <w:left w:w="108" w:type="dxa"/>
            <w:bottom w:w="0" w:type="dxa"/>
            <w:right w:w="108" w:type="dxa"/>
          </w:tblCellMar>
        </w:tblPrEx>
        <w:trPr>
          <w:trHeight w:val="297" w:hRule="atLeast"/>
          <w:jc w:val="center"/>
        </w:trPr>
        <w:tc>
          <w:tcPr>
            <w:tcW w:w="10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年度资金总额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50</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31.81</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1</w:t>
            </w:r>
            <w:r>
              <w:rPr>
                <w:rFonts w:hint="eastAsia" w:ascii="Times New Roman" w:hAnsi="Times New Roman"/>
                <w:color w:val="000000"/>
                <w:kern w:val="0"/>
                <w:sz w:val="15"/>
                <w:szCs w:val="15"/>
              </w:rPr>
              <w:t>0分</w:t>
            </w:r>
          </w:p>
        </w:tc>
        <w:tc>
          <w:tcPr>
            <w:tcW w:w="8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63.62%</w:t>
            </w:r>
          </w:p>
        </w:tc>
        <w:tc>
          <w:tcPr>
            <w:tcW w:w="13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7</w:t>
            </w:r>
          </w:p>
        </w:tc>
      </w:tr>
      <w:tr>
        <w:tblPrEx>
          <w:tblCellMar>
            <w:top w:w="0" w:type="dxa"/>
            <w:left w:w="108" w:type="dxa"/>
            <w:bottom w:w="0" w:type="dxa"/>
            <w:right w:w="108" w:type="dxa"/>
          </w:tblCellMar>
        </w:tblPrEx>
        <w:trPr>
          <w:trHeight w:val="297" w:hRule="atLeast"/>
          <w:jc w:val="center"/>
        </w:trPr>
        <w:tc>
          <w:tcPr>
            <w:tcW w:w="10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其中：当年财政拨款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0</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50</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31.81</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8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3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　</w:t>
            </w:r>
          </w:p>
        </w:tc>
      </w:tr>
      <w:tr>
        <w:tblPrEx>
          <w:tblCellMar>
            <w:top w:w="0" w:type="dxa"/>
            <w:left w:w="108" w:type="dxa"/>
            <w:bottom w:w="0" w:type="dxa"/>
            <w:right w:w="108" w:type="dxa"/>
          </w:tblCellMar>
        </w:tblPrEx>
        <w:trPr>
          <w:trHeight w:val="297" w:hRule="atLeast"/>
          <w:jc w:val="center"/>
        </w:trPr>
        <w:tc>
          <w:tcPr>
            <w:tcW w:w="10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firstLine="450" w:firstLineChars="300"/>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上年结转资金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8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3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　</w:t>
            </w:r>
          </w:p>
        </w:tc>
      </w:tr>
      <w:tr>
        <w:tblPrEx>
          <w:tblCellMar>
            <w:top w:w="0" w:type="dxa"/>
            <w:left w:w="108" w:type="dxa"/>
            <w:bottom w:w="0" w:type="dxa"/>
            <w:right w:w="108" w:type="dxa"/>
          </w:tblCellMar>
        </w:tblPrEx>
        <w:trPr>
          <w:trHeight w:val="297" w:hRule="atLeast"/>
          <w:jc w:val="center"/>
        </w:trPr>
        <w:tc>
          <w:tcPr>
            <w:tcW w:w="10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firstLine="450" w:firstLineChars="300"/>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其他资金</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　</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　</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　</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　</w:t>
            </w:r>
          </w:p>
        </w:tc>
        <w:tc>
          <w:tcPr>
            <w:tcW w:w="8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　</w:t>
            </w:r>
          </w:p>
        </w:tc>
        <w:tc>
          <w:tcPr>
            <w:tcW w:w="13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r>
              <w:rPr>
                <w:rFonts w:ascii="Times New Roman" w:hAnsi="Times New Roman"/>
                <w:color w:val="000000"/>
                <w:kern w:val="0"/>
                <w:sz w:val="15"/>
                <w:szCs w:val="15"/>
              </w:rPr>
              <w:t>　</w:t>
            </w:r>
          </w:p>
        </w:tc>
      </w:tr>
      <w:tr>
        <w:tblPrEx>
          <w:tblCellMar>
            <w:top w:w="0" w:type="dxa"/>
            <w:left w:w="108" w:type="dxa"/>
            <w:bottom w:w="0" w:type="dxa"/>
            <w:right w:w="108" w:type="dxa"/>
          </w:tblCellMar>
        </w:tblPrEx>
        <w:trPr>
          <w:trHeight w:val="297" w:hRule="atLeast"/>
          <w:jc w:val="center"/>
        </w:trPr>
        <w:tc>
          <w:tcPr>
            <w:tcW w:w="100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年度总体目标</w:t>
            </w:r>
          </w:p>
        </w:tc>
        <w:tc>
          <w:tcPr>
            <w:tcW w:w="4522"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预期目标</w:t>
            </w:r>
          </w:p>
        </w:tc>
        <w:tc>
          <w:tcPr>
            <w:tcW w:w="3633"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实际完成情况　</w:t>
            </w:r>
          </w:p>
        </w:tc>
      </w:tr>
      <w:tr>
        <w:tblPrEx>
          <w:tblCellMar>
            <w:top w:w="0" w:type="dxa"/>
            <w:left w:w="108" w:type="dxa"/>
            <w:bottom w:w="0" w:type="dxa"/>
            <w:right w:w="108" w:type="dxa"/>
          </w:tblCellMar>
        </w:tblPrEx>
        <w:trPr>
          <w:trHeight w:val="562" w:hRule="atLeast"/>
          <w:jc w:val="center"/>
        </w:trPr>
        <w:tc>
          <w:tcPr>
            <w:tcW w:w="100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4522"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firstLine="300" w:firstLineChars="200"/>
              <w:jc w:val="left"/>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开展和区县教培项目合作，推进国家级示范性教师发展中心建设进程。</w:t>
            </w:r>
            <w:r>
              <w:rPr>
                <w:rFonts w:ascii="Times New Roman" w:hAnsi="Times New Roman"/>
                <w:color w:val="000000"/>
                <w:kern w:val="0"/>
                <w:sz w:val="15"/>
                <w:szCs w:val="15"/>
              </w:rPr>
              <w:t>　</w:t>
            </w:r>
          </w:p>
        </w:tc>
        <w:tc>
          <w:tcPr>
            <w:tcW w:w="3633"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firstLine="300" w:firstLineChars="200"/>
              <w:jc w:val="left"/>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该资金50万元，截至年底实际支出31.81万元。主要用于12栋多媒体教室改造。</w:t>
            </w:r>
          </w:p>
        </w:tc>
      </w:tr>
      <w:tr>
        <w:tblPrEx>
          <w:tblCellMar>
            <w:top w:w="0" w:type="dxa"/>
            <w:left w:w="108" w:type="dxa"/>
            <w:bottom w:w="0" w:type="dxa"/>
            <w:right w:w="108" w:type="dxa"/>
          </w:tblCellMar>
        </w:tblPrEx>
        <w:trPr>
          <w:trHeight w:val="827" w:hRule="atLeast"/>
          <w:jc w:val="center"/>
        </w:trPr>
        <w:tc>
          <w:tcPr>
            <w:tcW w:w="1005"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绩</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效</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一级指标</w:t>
            </w:r>
          </w:p>
        </w:tc>
        <w:tc>
          <w:tcPr>
            <w:tcW w:w="10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二级指标</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三级指标</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年度</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指标值</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实际</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完成值</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分值</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得分</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偏差原因</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分析及</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改进措施</w:t>
            </w:r>
          </w:p>
        </w:tc>
      </w:tr>
      <w:tr>
        <w:tblPrEx>
          <w:tblCellMar>
            <w:top w:w="0" w:type="dxa"/>
            <w:left w:w="108" w:type="dxa"/>
            <w:bottom w:w="0" w:type="dxa"/>
            <w:right w:w="108" w:type="dxa"/>
          </w:tblCellMar>
        </w:tblPrEx>
        <w:trPr>
          <w:trHeight w:val="562"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产出指标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(50分)</w:t>
            </w:r>
          </w:p>
        </w:tc>
        <w:tc>
          <w:tcPr>
            <w:tcW w:w="1003"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数量指标</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国培、省培、市培项目</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20</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23</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562"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市级教师研训基地校建设</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10个</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13个</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olor w:val="000000"/>
                <w:kern w:val="0"/>
                <w:sz w:val="15"/>
                <w:szCs w:val="15"/>
                <w:lang w:eastAsia="zh-CN"/>
              </w:rPr>
            </w:pPr>
            <w:r>
              <w:rPr>
                <w:rFonts w:hint="eastAsia" w:ascii="Times New Roman" w:hAnsi="Times New Roman"/>
                <w:color w:val="000000"/>
                <w:kern w:val="0"/>
                <w:sz w:val="15"/>
                <w:szCs w:val="15"/>
                <w:lang w:val="en-US" w:eastAsia="zh-CN"/>
              </w:rPr>
              <w:t>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562"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“送培到校公益行”活动</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6次</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7次</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562"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学校基础设施维护</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1个</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1个</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olor w:val="000000"/>
                <w:kern w:val="0"/>
                <w:sz w:val="15"/>
                <w:szCs w:val="15"/>
                <w:lang w:eastAsia="zh-CN"/>
              </w:rPr>
            </w:pPr>
            <w:r>
              <w:rPr>
                <w:rFonts w:hint="eastAsia" w:ascii="Times New Roman" w:hAnsi="Times New Roman"/>
                <w:color w:val="000000"/>
                <w:kern w:val="0"/>
                <w:sz w:val="15"/>
                <w:szCs w:val="15"/>
                <w:lang w:val="en-US" w:eastAsia="zh-CN"/>
              </w:rPr>
              <w:t>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405"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质量指标</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学习基地合格率</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562"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color w:val="000000"/>
                <w:kern w:val="0"/>
                <w:sz w:val="15"/>
                <w:szCs w:val="15"/>
              </w:rPr>
            </w:pPr>
            <w:r>
              <w:rPr>
                <w:rFonts w:hint="eastAsia" w:ascii="Times New Roman" w:hAnsi="Times New Roman"/>
                <w:color w:val="000000"/>
                <w:kern w:val="0"/>
                <w:sz w:val="15"/>
                <w:szCs w:val="15"/>
              </w:rPr>
              <w:t>费用支出标准</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合格率</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372"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工程质量达标率</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827"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时效指标</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资金支付及时性</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≥60%</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3</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部门未及时报账，争取2023年一季度完成支付</w:t>
            </w:r>
          </w:p>
        </w:tc>
      </w:tr>
      <w:tr>
        <w:tblPrEx>
          <w:tblCellMar>
            <w:top w:w="0" w:type="dxa"/>
            <w:left w:w="108" w:type="dxa"/>
            <w:bottom w:w="0" w:type="dxa"/>
            <w:right w:w="108" w:type="dxa"/>
          </w:tblCellMar>
        </w:tblPrEx>
        <w:trPr>
          <w:trHeight w:val="562"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color w:val="000000"/>
                <w:kern w:val="0"/>
                <w:sz w:val="15"/>
                <w:szCs w:val="15"/>
              </w:rPr>
            </w:pPr>
            <w:r>
              <w:rPr>
                <w:rFonts w:hint="eastAsia" w:ascii="Times New Roman" w:hAnsi="Times New Roman"/>
                <w:color w:val="000000"/>
                <w:kern w:val="0"/>
                <w:sz w:val="15"/>
                <w:szCs w:val="15"/>
              </w:rPr>
              <w:t>各项工作完成</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及时率</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297"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成本指标</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成本控制率</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100%</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562"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效益指标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w:t>
            </w:r>
            <w:r>
              <w:rPr>
                <w:rFonts w:hint="eastAsia" w:ascii="Times New Roman" w:hAnsi="Times New Roman"/>
                <w:color w:val="000000"/>
                <w:kern w:val="0"/>
                <w:sz w:val="15"/>
                <w:szCs w:val="15"/>
              </w:rPr>
              <w:t>4</w:t>
            </w:r>
            <w:r>
              <w:rPr>
                <w:rFonts w:ascii="Times New Roman" w:hAnsi="Times New Roman"/>
                <w:color w:val="000000"/>
                <w:kern w:val="0"/>
                <w:sz w:val="15"/>
                <w:szCs w:val="15"/>
              </w:rPr>
              <w:t>0分）</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生态</w:t>
            </w:r>
            <w:r>
              <w:rPr>
                <w:rFonts w:ascii="Times New Roman" w:hAnsi="Times New Roman"/>
                <w:color w:val="000000"/>
                <w:kern w:val="0"/>
                <w:sz w:val="15"/>
                <w:szCs w:val="15"/>
              </w:rPr>
              <w:t>效</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益指标</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项目完成后办学条件改善</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有所改善</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有所改善</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6</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olor w:val="000000"/>
                <w:kern w:val="0"/>
                <w:sz w:val="15"/>
                <w:szCs w:val="15"/>
                <w:lang w:eastAsia="zh-CN"/>
              </w:rPr>
            </w:pPr>
            <w:r>
              <w:rPr>
                <w:rFonts w:hint="eastAsia" w:ascii="Times New Roman" w:hAnsi="Times New Roman"/>
                <w:color w:val="000000"/>
                <w:kern w:val="0"/>
                <w:sz w:val="15"/>
                <w:szCs w:val="15"/>
                <w:lang w:val="en-US" w:eastAsia="zh-CN"/>
              </w:rPr>
              <w:t>6</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297"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社会效</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益指标</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受益学生人数</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≥1000人</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≥1500</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297"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受益教师人数</w:t>
            </w:r>
          </w:p>
        </w:tc>
        <w:tc>
          <w:tcPr>
            <w:tcW w:w="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≥2000人</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≥6000</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562"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可持续影响指标</w:t>
            </w:r>
          </w:p>
        </w:tc>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项目完成后学校提高影响力</w:t>
            </w:r>
          </w:p>
        </w:tc>
        <w:tc>
          <w:tcPr>
            <w:tcW w:w="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有所提升</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有所提升</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8</w:t>
            </w:r>
          </w:p>
        </w:tc>
        <w:tc>
          <w:tcPr>
            <w:tcW w:w="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8</w:t>
            </w: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297"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社会公</w:t>
            </w:r>
            <w:r>
              <w:rPr>
                <w:rFonts w:hint="eastAsia" w:ascii="Times New Roman" w:hAnsi="Times New Roman"/>
                <w:color w:val="000000"/>
                <w:kern w:val="0"/>
                <w:sz w:val="15"/>
                <w:szCs w:val="15"/>
              </w:rPr>
              <w:t>众</w:t>
            </w:r>
            <w:r>
              <w:rPr>
                <w:rFonts w:ascii="Times New Roman" w:hAnsi="Times New Roman"/>
                <w:color w:val="000000"/>
                <w:kern w:val="0"/>
                <w:sz w:val="15"/>
                <w:szCs w:val="15"/>
              </w:rPr>
              <w:t>或服务对象满意度指标</w:t>
            </w: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部门满意度</w:t>
            </w:r>
          </w:p>
        </w:tc>
        <w:tc>
          <w:tcPr>
            <w:tcW w:w="9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8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≥95%</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13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297" w:hRule="atLeast"/>
          <w:jc w:val="center"/>
        </w:trPr>
        <w:tc>
          <w:tcPr>
            <w:tcW w:w="10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教师满意率</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≥95%</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297" w:hRule="atLeast"/>
          <w:jc w:val="center"/>
        </w:trPr>
        <w:tc>
          <w:tcPr>
            <w:tcW w:w="100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color w:val="000000"/>
                <w:kern w:val="0"/>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003"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学员满意度</w:t>
            </w:r>
          </w:p>
        </w:tc>
        <w:tc>
          <w:tcPr>
            <w:tcW w:w="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≥90%</w:t>
            </w:r>
          </w:p>
        </w:tc>
        <w:tc>
          <w:tcPr>
            <w:tcW w:w="8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≥95%</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6</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6</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r>
        <w:tblPrEx>
          <w:tblCellMar>
            <w:top w:w="0" w:type="dxa"/>
            <w:left w:w="108" w:type="dxa"/>
            <w:bottom w:w="0" w:type="dxa"/>
            <w:right w:w="108" w:type="dxa"/>
          </w:tblCellMar>
        </w:tblPrEx>
        <w:trPr>
          <w:trHeight w:val="463" w:hRule="atLeast"/>
          <w:jc w:val="center"/>
        </w:trPr>
        <w:tc>
          <w:tcPr>
            <w:tcW w:w="6374" w:type="dxa"/>
            <w:gridSpan w:val="6"/>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总分</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ascii="Times New Roman" w:hAnsi="Times New Roman"/>
                <w:color w:val="000000"/>
                <w:kern w:val="0"/>
                <w:sz w:val="15"/>
                <w:szCs w:val="15"/>
              </w:rPr>
              <w:t>100</w:t>
            </w:r>
            <w:r>
              <w:rPr>
                <w:rFonts w:hint="eastAsia" w:ascii="Times New Roman" w:hAnsi="Times New Roman"/>
                <w:color w:val="000000"/>
                <w:kern w:val="0"/>
                <w:sz w:val="15"/>
                <w:szCs w:val="15"/>
              </w:rPr>
              <w:t>分</w:t>
            </w:r>
          </w:p>
        </w:tc>
        <w:tc>
          <w:tcPr>
            <w:tcW w:w="81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r>
              <w:rPr>
                <w:rFonts w:hint="eastAsia" w:ascii="Times New Roman" w:hAnsi="Times New Roman"/>
                <w:color w:val="000000"/>
                <w:kern w:val="0"/>
                <w:sz w:val="15"/>
                <w:szCs w:val="15"/>
              </w:rPr>
              <w:t>95</w:t>
            </w:r>
          </w:p>
        </w:tc>
        <w:tc>
          <w:tcPr>
            <w:tcW w:w="13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imes New Roman" w:hAnsi="Times New Roman"/>
                <w:color w:val="000000"/>
                <w:kern w:val="0"/>
                <w:sz w:val="15"/>
                <w:szCs w:val="15"/>
              </w:rPr>
            </w:pPr>
          </w:p>
        </w:tc>
      </w:tr>
    </w:tbl>
    <w:p>
      <w:pPr>
        <w:rPr>
          <w:sz w:val="15"/>
          <w:szCs w:val="15"/>
        </w:rPr>
      </w:pPr>
      <w:r>
        <w:rPr>
          <w:rFonts w:ascii="Times New Roman" w:hAnsi="Times New Roman" w:eastAsia="仿宋_GB2312" w:cs="Times New Roman"/>
          <w:color w:val="auto"/>
          <w:kern w:val="0"/>
          <w:sz w:val="21"/>
          <w:szCs w:val="21"/>
        </w:rPr>
        <w:t>填表人</w:t>
      </w:r>
      <w:r>
        <w:rPr>
          <w:rFonts w:hint="eastAsia" w:ascii="Times New Roman" w:hAnsi="Times New Roman" w:eastAsia="仿宋_GB2312" w:cs="Times New Roman"/>
          <w:color w:val="auto"/>
          <w:kern w:val="0"/>
          <w:sz w:val="21"/>
          <w:szCs w:val="21"/>
          <w:lang w:eastAsia="zh-CN"/>
        </w:rPr>
        <w:t>：</w:t>
      </w:r>
      <w:r>
        <w:rPr>
          <w:rFonts w:ascii="Times New Roman" w:hAnsi="Times New Roman" w:eastAsia="仿宋_GB2312" w:cs="Times New Roman"/>
          <w:color w:val="auto"/>
          <w:kern w:val="0"/>
          <w:sz w:val="21"/>
          <w:szCs w:val="21"/>
        </w:rPr>
        <w:t xml:space="preserve"> </w:t>
      </w:r>
      <w:r>
        <w:rPr>
          <w:rFonts w:hint="eastAsia" w:ascii="Times New Roman" w:hAnsi="Times New Roman" w:eastAsia="仿宋_GB2312" w:cs="Times New Roman"/>
          <w:color w:val="auto"/>
          <w:kern w:val="0"/>
          <w:sz w:val="21"/>
          <w:szCs w:val="21"/>
          <w:lang w:val="en-US" w:eastAsia="zh-CN"/>
        </w:rPr>
        <w:t xml:space="preserve">       </w:t>
      </w:r>
      <w:r>
        <w:rPr>
          <w:rFonts w:ascii="Times New Roman" w:hAnsi="Times New Roman" w:eastAsia="仿宋_GB2312" w:cs="Times New Roman"/>
          <w:color w:val="auto"/>
          <w:kern w:val="0"/>
          <w:sz w:val="21"/>
          <w:szCs w:val="21"/>
        </w:rPr>
        <w:t xml:space="preserve"> 填报日期：</w:t>
      </w:r>
      <w:r>
        <w:rPr>
          <w:rFonts w:hint="eastAsia" w:ascii="Times New Roman" w:hAnsi="Times New Roman" w:eastAsia="仿宋_GB2312" w:cs="Times New Roman"/>
          <w:color w:val="auto"/>
          <w:kern w:val="0"/>
          <w:sz w:val="21"/>
          <w:szCs w:val="21"/>
          <w:lang w:val="en-US" w:eastAsia="zh-CN"/>
        </w:rPr>
        <w:t xml:space="preserve">     </w:t>
      </w:r>
      <w:r>
        <w:rPr>
          <w:rFonts w:ascii="Times New Roman" w:hAnsi="Times New Roman" w:eastAsia="仿宋_GB2312" w:cs="Times New Roman"/>
          <w:color w:val="auto"/>
          <w:kern w:val="0"/>
          <w:sz w:val="21"/>
          <w:szCs w:val="21"/>
        </w:rPr>
        <w:t xml:space="preserve">     联系电话：</w:t>
      </w:r>
      <w:r>
        <w:rPr>
          <w:rFonts w:hint="eastAsia" w:ascii="Times New Roman" w:hAnsi="Times New Roman" w:eastAsia="仿宋_GB2312" w:cs="Times New Roman"/>
          <w:color w:val="auto"/>
          <w:kern w:val="0"/>
          <w:sz w:val="21"/>
          <w:szCs w:val="21"/>
          <w:lang w:val="en-US" w:eastAsia="zh-CN"/>
        </w:rPr>
        <w:t xml:space="preserve">        </w:t>
      </w:r>
      <w:r>
        <w:rPr>
          <w:rFonts w:ascii="Times New Roman" w:hAnsi="Times New Roman" w:eastAsia="仿宋_GB2312" w:cs="Times New Roman"/>
          <w:color w:val="auto"/>
          <w:kern w:val="0"/>
          <w:sz w:val="21"/>
          <w:szCs w:val="21"/>
        </w:rPr>
        <w:t xml:space="preserve">  单位负责人签字：</w:t>
      </w:r>
    </w:p>
    <w:sectPr>
      <w:footerReference r:id="rId3" w:type="default"/>
      <w:pgSz w:w="11906" w:h="16838"/>
      <w:pgMar w:top="1587" w:right="1361"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4433E"/>
    <w:multiLevelType w:val="singleLevel"/>
    <w:tmpl w:val="65F443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1ZGUzMTVmMWQzNTY3YTMwMmVmZTJkNjAyNTgyYjIifQ=="/>
  </w:docVars>
  <w:rsids>
    <w:rsidRoot w:val="4B3C51E2"/>
    <w:rsid w:val="00112AA6"/>
    <w:rsid w:val="002A007B"/>
    <w:rsid w:val="003B45DC"/>
    <w:rsid w:val="00492EC7"/>
    <w:rsid w:val="0053480D"/>
    <w:rsid w:val="00BC4C7F"/>
    <w:rsid w:val="00C2436D"/>
    <w:rsid w:val="05E41A4E"/>
    <w:rsid w:val="07795A8D"/>
    <w:rsid w:val="09436276"/>
    <w:rsid w:val="0A2701A1"/>
    <w:rsid w:val="1C55350F"/>
    <w:rsid w:val="21D63B05"/>
    <w:rsid w:val="43527D59"/>
    <w:rsid w:val="43AF7580"/>
    <w:rsid w:val="471622EA"/>
    <w:rsid w:val="4B3C51E2"/>
    <w:rsid w:val="4D7D0349"/>
    <w:rsid w:val="4F544A36"/>
    <w:rsid w:val="545F2AC1"/>
    <w:rsid w:val="5A61249C"/>
    <w:rsid w:val="67A8489F"/>
    <w:rsid w:val="6914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Null"/>
    <w:qFormat/>
    <w:uiPriority w:val="0"/>
    <w:pPr>
      <w:jc w:val="both"/>
      <w:textAlignment w:val="baseline"/>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2366</Words>
  <Characters>2533</Characters>
  <Lines>4</Lines>
  <Paragraphs>5</Paragraphs>
  <TotalTime>0</TotalTime>
  <ScaleCrop>false</ScaleCrop>
  <LinksUpToDate>false</LinksUpToDate>
  <CharactersWithSpaces>2577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2023-03-13T12:23:00Z</dcterms:created>
  <dc:creator>刘玲</dc:creator>
  <cp:lastModifiedBy>文达</cp:lastModifiedBy>
  <dcterms:modified xsi:type="dcterms:W3CDTF">2023-03-23T01:31:03Z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6FBCC98EC61041A59523BE46C7815463</vt:lpwstr>
  </property>
</Properties>
</file>