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2022年度中职免学费项目资金</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绩效自评报告</w:t>
      </w:r>
    </w:p>
    <w:p>
      <w:pPr>
        <w:adjustRightInd w:val="0"/>
        <w:snapToGrid w:val="0"/>
        <w:spacing w:line="600" w:lineRule="exact"/>
        <w:ind w:firstLine="643" w:firstLineChars="200"/>
        <w:rPr>
          <w:rFonts w:hint="eastAsia" w:ascii="仿宋_GB2312" w:hAnsi="Calibri" w:eastAsia="仿宋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一、项目概况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eastAsia="zh-CN"/>
        </w:rPr>
        <w:t>根据《财政部</w:t>
      </w:r>
      <w:r>
        <w:rPr>
          <w:rFonts w:hint="default" w:ascii="仿宋_GB2312" w:hAnsi="Calibri" w:eastAsia="仿宋_GB2312" w:cs="Times New Roman"/>
          <w:color w:val="auto"/>
          <w:sz w:val="32"/>
          <w:szCs w:val="32"/>
          <w:lang w:eastAsia="zh-CN"/>
        </w:rPr>
        <w:t xml:space="preserve"> 国家发展改委教育部 人力资源社会保障部关于扩大中等职业教育免学费范围进一步完善国家助学金制度的意见》</w:t>
      </w:r>
      <w:r>
        <w:rPr>
          <w:rFonts w:hint="eastAsia" w:ascii="仿宋_GB2312" w:hAnsi="Calibri" w:eastAsia="仿宋_GB2312" w:cs="Times New Roman"/>
          <w:color w:val="auto"/>
          <w:sz w:val="32"/>
          <w:szCs w:val="32"/>
          <w:lang w:eastAsia="zh-CN"/>
        </w:rPr>
        <w:t>(</w:t>
      </w:r>
      <w:r>
        <w:rPr>
          <w:rFonts w:hint="default" w:ascii="仿宋_GB2312" w:hAnsi="Calibri" w:eastAsia="仿宋_GB2312" w:cs="Times New Roman"/>
          <w:color w:val="auto"/>
          <w:sz w:val="32"/>
          <w:szCs w:val="32"/>
          <w:lang w:eastAsia="zh-CN"/>
        </w:rPr>
        <w:t>财教〔2012〕376号)为保证学校正常运转,对因免除学费导致学校收入减少的部分,第一、二、三学年由财政按照享受免学费政策学生人数和免学费标准补助学校。</w:t>
      </w:r>
      <w:r>
        <w:rPr>
          <w:rFonts w:hint="eastAsia" w:ascii="仿宋_GB2312" w:hAnsi="Calibri" w:eastAsia="仿宋_GB2312" w:cs="Times New Roman"/>
          <w:color w:val="auto"/>
          <w:sz w:val="32"/>
          <w:szCs w:val="32"/>
          <w:lang w:val="en-US" w:eastAsia="zh-CN"/>
        </w:rPr>
        <w:t>《湖南省物价局 南省教育厅 湖南省人力资源和社会保障厅</w:t>
      </w:r>
      <w:r>
        <w:rPr>
          <w:rFonts w:hint="eastAsia" w:ascii="仿宋_GB2312" w:hAnsi="Calibri" w:eastAsia="仿宋_GB2312" w:cs="Times New Roman"/>
          <w:color w:val="auto"/>
          <w:sz w:val="32"/>
          <w:szCs w:val="32"/>
          <w:lang w:eastAsia="zh-CN"/>
        </w:rPr>
        <w:t>关于扩大中等职业教育免学费政策范围进一步完善国家助学金制度的通知</w:t>
      </w:r>
      <w:r>
        <w:rPr>
          <w:rFonts w:hint="eastAsia"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eastAsia="zh-CN"/>
        </w:rPr>
        <w:t>湘财教</w:t>
      </w:r>
      <w:r>
        <w:rPr>
          <w:rFonts w:hint="default" w:ascii="仿宋_GB2312" w:hAnsi="Calibri" w:eastAsia="仿宋_GB2312" w:cs="Times New Roman"/>
          <w:color w:val="auto"/>
          <w:sz w:val="32"/>
          <w:szCs w:val="32"/>
          <w:lang w:eastAsia="zh-CN"/>
        </w:rPr>
        <w:t>〔2012〕</w:t>
      </w:r>
      <w:r>
        <w:rPr>
          <w:rFonts w:hint="eastAsia" w:ascii="仿宋_GB2312" w:hAnsi="Calibri" w:eastAsia="仿宋_GB2312" w:cs="Times New Roman"/>
          <w:color w:val="auto"/>
          <w:sz w:val="32"/>
          <w:szCs w:val="32"/>
          <w:lang w:eastAsia="zh-CN"/>
        </w:rPr>
        <w:t>82号</w:t>
      </w:r>
      <w:r>
        <w:rPr>
          <w:rFonts w:hint="eastAsia"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eastAsia="zh-CN"/>
        </w:rPr>
        <w:t>规定：从2012年秋季</w:t>
      </w:r>
      <w:r>
        <w:rPr>
          <w:rFonts w:hint="eastAsia" w:ascii="仿宋_GB2312" w:eastAsia="仿宋_GB2312" w:cs="仿宋_GB2312"/>
          <w:color w:val="000000"/>
          <w:sz w:val="32"/>
          <w:szCs w:val="32"/>
        </w:rPr>
        <w:t>学期起，免学费补助资金由中央财政与地方财政按比例分担。中央财政统一按照每生每年1000元的标准，对其他地区学生承担60%</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其余资金由省、市、县财政按以下原则分担：一是市州本级所属学校由同级财政负担。二是省直管县市所属学校，由省、县两级</w:t>
      </w:r>
      <w:r>
        <w:rPr>
          <w:rFonts w:hint="eastAsia" w:ascii="仿宋_GB2312" w:hAnsi="Calibri" w:eastAsia="仿宋_GB2312" w:cs="Times New Roman"/>
          <w:color w:val="auto"/>
          <w:sz w:val="32"/>
          <w:szCs w:val="32"/>
          <w:lang w:eastAsia="zh-CN"/>
        </w:rPr>
        <w:t>分担，其他非省直管县（区）所属学校，由省、市、县三级分担。</w:t>
      </w:r>
      <w:r>
        <w:rPr>
          <w:rFonts w:hint="eastAsia" w:ascii="仿宋_GB2312" w:hAnsi="Calibri" w:eastAsia="仿宋_GB2312" w:cs="Times New Roman"/>
          <w:color w:val="auto"/>
          <w:sz w:val="32"/>
          <w:szCs w:val="32"/>
          <w:lang w:val="en-US" w:eastAsia="zh-CN"/>
        </w:rPr>
        <w:t>中职免学费市级配套资金为财政按在校学生中职免学费认证人数，主要用于弥补因中等职业学校学生享受免学费政策后，学校运转出现的经费缺口。2022年，为贯彻国家鼓励更多适龄青年就读中等职业技术学校的教育方针和国家免学费助学政策，不断改善办学条件、不断扩大办学规模，避免因学致贫、因学返贫现象的发生，我市共发放中职免学费资金1414.28万元，对中职教育阶段符合资助条件的家庭经济困难学生进行补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二、绩效自评工作开展情况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1.成立绩效评价工作组。根据《益阳市财政局关于开展2022年度部门绩效自评工作的通知》精神，市教育局主要领导召开了财务工作专题会议，由局机关班子成员与办公室、计财科全体人员和二级机构负责人参加会议，并成立项目绩效评价工作小组，明确了工作任务、出台了工作方案，对项目资金进行绩效自评。本次绩效评价旨在对2022年中益阳市中职免学费补助资金投入成效进行综合分析，通过对其决策、过程、产出、成本、效益和服务对象满意度进行客观、公正评价。</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2.绩效评价方法与原则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本次评价严格遵守科学规范，实事求是等原则，采用分析绩效评价为主，并且召开座谈会，对专项经费使用情况进行审计。听取各学校执行业务科室有关资金使用管理、任务完成等情况介绍，了解资金使用取得的绩效、存在的主要问题及建议等，在财务部门的配合下对资金的使用情况进行了审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三、综合评价结论</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评价组依据设定的绩效评价指标体系以及评分标准，通过数据采集、访谈等形式对2022年中职免学费补助资金使用进行客观评价，总体评价得分为98分，评价等级为“优秀”。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四、绩效目标实现情况分析</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（一）项目资金使用及管理情况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中职免学费项目2022年实际到位资金1414.276万元，本年实际拨付1414.276万元，预算执行率为100%。学校对专项资金的使用合乎规范，按财务预算管理制度执行，资金使用率高。</w:t>
      </w:r>
    </w:p>
    <w:p>
      <w:pPr>
        <w:keepNext w:val="0"/>
        <w:keepLines w:val="0"/>
        <w:pageBreakBefore w:val="0"/>
        <w:widowControl w:val="0"/>
        <w:kinsoku/>
        <w:wordWrap/>
        <w:overflowPunct/>
        <w:topLinePunct w:val="0"/>
        <w:autoSpaceDE/>
        <w:autoSpaceDN/>
        <w:bidi w:val="0"/>
        <w:spacing w:line="580" w:lineRule="exact"/>
        <w:ind w:firstLine="960" w:firstLineChars="3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1.项目实际使用情况分析</w:t>
      </w:r>
    </w:p>
    <w:p>
      <w:pPr>
        <w:keepNext w:val="0"/>
        <w:keepLines w:val="0"/>
        <w:pageBreakBefore w:val="0"/>
        <w:widowControl w:val="0"/>
        <w:kinsoku/>
        <w:wordWrap/>
        <w:overflowPunct/>
        <w:topLinePunct w:val="0"/>
        <w:autoSpaceDE/>
        <w:autoSpaceDN/>
        <w:bidi w:val="0"/>
        <w:spacing w:line="580" w:lineRule="exact"/>
        <w:ind w:firstLine="960" w:firstLineChars="3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我市每年分春、秋两季二次拨付中职免学费资金到学校。春季开学后约5月份依据中职教育阶段学生在校情况，第一次拨付中职免学费资金，拨付标准为1000元/人·学期；秋季开学后约11月依据中职教育阶段学生在校情况，第二次拨付中职免学费资金，拨付标准为1000元/人·学期。</w:t>
      </w:r>
    </w:p>
    <w:p>
      <w:pPr>
        <w:keepNext w:val="0"/>
        <w:keepLines w:val="0"/>
        <w:pageBreakBefore w:val="0"/>
        <w:widowControl w:val="0"/>
        <w:kinsoku/>
        <w:wordWrap/>
        <w:overflowPunct/>
        <w:topLinePunct w:val="0"/>
        <w:autoSpaceDE/>
        <w:autoSpaceDN/>
        <w:bidi w:val="0"/>
        <w:spacing w:line="580" w:lineRule="exact"/>
        <w:ind w:firstLine="960" w:firstLineChars="3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2022年中职免学费市级资金1414.276万元，对中职就读的符合条件的学生按1000元/人·学期的标准补助，</w:t>
      </w:r>
      <w:r>
        <w:rPr>
          <w:rFonts w:hint="default" w:ascii="仿宋_GB2312" w:hAnsi="Calibri" w:eastAsia="仿宋_GB2312" w:cs="Times New Roman"/>
          <w:color w:val="auto"/>
          <w:sz w:val="32"/>
          <w:szCs w:val="32"/>
          <w:lang w:val="en-US" w:eastAsia="zh-CN"/>
        </w:rPr>
        <w:t>共补助中职学生</w:t>
      </w:r>
      <w:r>
        <w:rPr>
          <w:rFonts w:hint="eastAsia" w:ascii="仿宋_GB2312" w:hAnsi="Calibri" w:eastAsia="仿宋_GB2312" w:cs="Times New Roman"/>
          <w:color w:val="auto"/>
          <w:sz w:val="32"/>
          <w:szCs w:val="32"/>
          <w:lang w:val="en-US" w:eastAsia="zh-CN"/>
        </w:rPr>
        <w:t>26382</w:t>
      </w:r>
      <w:r>
        <w:rPr>
          <w:rFonts w:hint="default" w:ascii="仿宋_GB2312" w:hAnsi="Calibri" w:eastAsia="仿宋_GB2312" w:cs="Times New Roman"/>
          <w:color w:val="auto"/>
          <w:sz w:val="32"/>
          <w:szCs w:val="32"/>
          <w:lang w:val="en-US" w:eastAsia="zh-CN"/>
        </w:rPr>
        <w:t xml:space="preserve">人次，发放补助金额 </w:t>
      </w:r>
      <w:r>
        <w:rPr>
          <w:rFonts w:hint="eastAsia" w:ascii="仿宋_GB2312" w:hAnsi="Calibri" w:eastAsia="仿宋_GB2312" w:cs="Times New Roman"/>
          <w:color w:val="auto"/>
          <w:sz w:val="32"/>
          <w:szCs w:val="32"/>
          <w:lang w:val="en-US" w:eastAsia="zh-CN"/>
        </w:rPr>
        <w:t>1414.276</w:t>
      </w:r>
      <w:r>
        <w:rPr>
          <w:rFonts w:hint="default" w:ascii="仿宋_GB2312" w:hAnsi="Calibri"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spacing w:line="580" w:lineRule="exact"/>
        <w:ind w:firstLine="960" w:firstLineChars="3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2.项目资金管理情况分析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 xml:space="preserve">该项目资金到位与支付进度良好，资金支出严格按照《财政部 国家发展改革委 教育部 人力资源社会保障部关于扩大中等职业教育免学费政策范围进一步完善国家助学金制度的意见》（财教〔2012〕376号）规定及《中等职业学校国家助学金管理办法》等国家有关法律、行政法规和财务规章制度，有完整的审核程序和手续，不存在截留、挤占、挪用或擅自改变资金用途等情况。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lang w:val="en-US" w:eastAsia="zh-CN"/>
        </w:rPr>
      </w:pPr>
      <w:r>
        <w:rPr>
          <w:rFonts w:hint="eastAsia" w:ascii="仿宋_GB2312" w:hAnsi="Calibri" w:eastAsia="仿宋_GB2312" w:cs="Times New Roman"/>
          <w:color w:val="auto"/>
          <w:sz w:val="32"/>
          <w:szCs w:val="32"/>
          <w:highlight w:val="none"/>
          <w:lang w:val="en-US" w:eastAsia="zh-CN"/>
        </w:rPr>
        <w:t>自开展中职国家助学金工作以来，我局严格把好中职免学费的审核关。学校积极组织学校相关领导、班主任和学生代表组成评审小组，对申请学生进行评审，并认真核实每位申请学生的情况，详实核对信息。待资金到位后</w:t>
      </w:r>
      <w:r>
        <w:rPr>
          <w:rFonts w:hint="eastAsia" w:ascii="仿宋" w:hAnsi="仿宋" w:eastAsia="仿宋" w:cs="仿宋"/>
          <w:color w:val="000000"/>
          <w:sz w:val="32"/>
          <w:szCs w:val="32"/>
          <w:lang w:eastAsia="zh-CN"/>
        </w:rPr>
        <w:t>并通过财政一卡通系统、</w:t>
      </w:r>
      <w:r>
        <w:rPr>
          <w:rFonts w:hint="eastAsia" w:ascii="仿宋" w:hAnsi="仿宋" w:eastAsia="仿宋" w:cs="仿宋"/>
          <w:color w:val="000000"/>
          <w:sz w:val="32"/>
          <w:szCs w:val="32"/>
          <w:lang w:val="en-US" w:eastAsia="zh-CN"/>
        </w:rPr>
        <w:t>工商</w:t>
      </w:r>
      <w:r>
        <w:rPr>
          <w:rFonts w:hint="eastAsia" w:ascii="仿宋" w:hAnsi="仿宋" w:eastAsia="仿宋" w:cs="仿宋"/>
          <w:color w:val="000000"/>
          <w:sz w:val="32"/>
          <w:szCs w:val="32"/>
          <w:lang w:eastAsia="zh-CN"/>
        </w:rPr>
        <w:t>银行</w:t>
      </w:r>
      <w:r>
        <w:rPr>
          <w:rFonts w:hint="eastAsia" w:ascii="仿宋" w:hAnsi="仿宋" w:eastAsia="仿宋" w:cs="仿宋"/>
          <w:color w:val="000000"/>
          <w:sz w:val="32"/>
          <w:szCs w:val="32"/>
          <w:lang w:val="en-US" w:eastAsia="zh-CN"/>
        </w:rPr>
        <w:t>或农商银行</w:t>
      </w:r>
      <w:r>
        <w:rPr>
          <w:rFonts w:hint="eastAsia" w:ascii="仿宋" w:hAnsi="仿宋" w:eastAsia="仿宋" w:cs="仿宋"/>
          <w:color w:val="000000"/>
          <w:sz w:val="32"/>
          <w:szCs w:val="32"/>
          <w:lang w:eastAsia="zh-CN"/>
        </w:rPr>
        <w:t>打卡发放</w:t>
      </w:r>
      <w:r>
        <w:rPr>
          <w:rFonts w:hint="eastAsia" w:ascii="仿宋_GB2312" w:hAnsi="Calibri" w:eastAsia="仿宋_GB2312" w:cs="Times New Roman"/>
          <w:color w:val="auto"/>
          <w:sz w:val="32"/>
          <w:szCs w:val="32"/>
          <w:highlight w:val="none"/>
          <w:lang w:val="en-US" w:eastAsia="zh-CN"/>
        </w:rPr>
        <w:t>。在中职国家助学金的发放过程中，实行实名发放，不存在代签、冒签，使国家助学金真正发放到受助学生手中。对孤儿、残疾学生重点倾斜。没有弄虚作假、套取财政专项资金或挤占、挪用、滞留国家助学金的现象，也未出现以实物或服务等形式，抵顶或扣减受助学生国家助学金的行为，确保了每个学生不因家庭经济困难而失学。</w:t>
      </w:r>
    </w:p>
    <w:p>
      <w:pPr>
        <w:keepNext w:val="0"/>
        <w:keepLines w:val="0"/>
        <w:pageBreakBefore w:val="0"/>
        <w:widowControl w:val="0"/>
        <w:kinsoku/>
        <w:wordWrap/>
        <w:overflowPunct/>
        <w:topLinePunct w:val="0"/>
        <w:autoSpaceDE/>
        <w:autoSpaceDN/>
        <w:bidi w:val="0"/>
        <w:spacing w:line="580" w:lineRule="exact"/>
        <w:ind w:firstLine="960" w:firstLineChars="3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（二）总体绩效目标完成情况分析</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default" w:ascii="仿宋_GB2312" w:hAnsi="Calibri" w:eastAsia="仿宋_GB2312" w:cs="Times New Roman"/>
          <w:color w:val="auto"/>
          <w:sz w:val="32"/>
          <w:szCs w:val="32"/>
          <w:lang w:eastAsia="zh-CN"/>
        </w:rPr>
        <w:t>根据项目支出绩效目标申报表内容</w:t>
      </w:r>
      <w:r>
        <w:rPr>
          <w:rFonts w:hint="eastAsia" w:ascii="仿宋_GB2312" w:hAnsi="Calibri" w:eastAsia="仿宋_GB2312" w:cs="Times New Roman"/>
          <w:color w:val="auto"/>
          <w:sz w:val="32"/>
          <w:szCs w:val="32"/>
          <w:lang w:eastAsia="zh-CN"/>
        </w:rPr>
        <w:t>，益阳市</w:t>
      </w:r>
      <w:r>
        <w:rPr>
          <w:rFonts w:hint="eastAsia" w:ascii="仿宋_GB2312" w:hAnsi="Calibri" w:eastAsia="仿宋_GB2312" w:cs="Times New Roman"/>
          <w:color w:val="auto"/>
          <w:sz w:val="32"/>
          <w:szCs w:val="32"/>
          <w:lang w:val="en-US" w:eastAsia="zh-CN"/>
        </w:rPr>
        <w:t>2022</w:t>
      </w:r>
      <w:r>
        <w:rPr>
          <w:rFonts w:hint="default" w:ascii="仿宋_GB2312" w:hAnsi="Calibri" w:eastAsia="仿宋_GB2312" w:cs="Times New Roman"/>
          <w:color w:val="auto"/>
          <w:sz w:val="32"/>
          <w:szCs w:val="32"/>
          <w:lang w:eastAsia="zh-CN"/>
        </w:rPr>
        <w:t>年中职免学费补助资金共补助中职学生</w:t>
      </w:r>
      <w:r>
        <w:rPr>
          <w:rFonts w:hint="eastAsia" w:ascii="仿宋_GB2312" w:hAnsi="Calibri" w:eastAsia="仿宋_GB2312" w:cs="Times New Roman"/>
          <w:color w:val="auto"/>
          <w:sz w:val="32"/>
          <w:szCs w:val="32"/>
          <w:lang w:val="en-US" w:eastAsia="zh-CN"/>
        </w:rPr>
        <w:t>26382</w:t>
      </w:r>
      <w:r>
        <w:rPr>
          <w:rFonts w:hint="default" w:ascii="仿宋_GB2312" w:hAnsi="Calibri" w:eastAsia="仿宋_GB2312" w:cs="Times New Roman"/>
          <w:color w:val="auto"/>
          <w:sz w:val="32"/>
          <w:szCs w:val="32"/>
          <w:lang w:eastAsia="zh-CN"/>
        </w:rPr>
        <w:t xml:space="preserve">人次，发放补助金额 </w:t>
      </w:r>
      <w:r>
        <w:rPr>
          <w:rFonts w:hint="eastAsia" w:ascii="仿宋_GB2312" w:hAnsi="Calibri" w:eastAsia="仿宋_GB2312" w:cs="Times New Roman"/>
          <w:color w:val="auto"/>
          <w:sz w:val="32"/>
          <w:szCs w:val="32"/>
          <w:lang w:val="en-US" w:eastAsia="zh-CN"/>
        </w:rPr>
        <w:t>1414.276</w:t>
      </w:r>
      <w:r>
        <w:rPr>
          <w:rFonts w:hint="default" w:ascii="仿宋_GB2312" w:hAnsi="Calibri" w:eastAsia="仿宋_GB2312" w:cs="Times New Roman"/>
          <w:color w:val="auto"/>
          <w:sz w:val="32"/>
          <w:szCs w:val="32"/>
          <w:lang w:eastAsia="zh-CN"/>
        </w:rPr>
        <w:t>万元。</w:t>
      </w:r>
      <w:r>
        <w:rPr>
          <w:rFonts w:hint="eastAsia" w:ascii="仿宋_GB2312" w:hAnsi="Calibri" w:eastAsia="仿宋_GB2312" w:cs="Times New Roman"/>
          <w:color w:val="auto"/>
          <w:sz w:val="32"/>
          <w:szCs w:val="32"/>
          <w:lang w:eastAsia="zh-CN"/>
        </w:rPr>
        <w:t>实现了全履盖，吸引农村、城市家庭困难学生进入中职学校学习，有效提高劳动者素质和技能，为国家培养技能型人才做出贡献，促进企业生产经营和劳动者就业减轻和解决农村和城镇贫困家庭确保学生不因贫困交不起学费而辍学。</w:t>
      </w:r>
      <w:r>
        <w:rPr>
          <w:rFonts w:hint="default" w:ascii="仿宋_GB2312" w:hAnsi="Calibri" w:eastAsia="仿宋_GB2312" w:cs="Times New Roman"/>
          <w:color w:val="auto"/>
          <w:sz w:val="32"/>
          <w:szCs w:val="32"/>
          <w:lang w:eastAsia="zh-CN"/>
        </w:rPr>
        <w:t>202</w:t>
      </w:r>
      <w:r>
        <w:rPr>
          <w:rFonts w:hint="eastAsia" w:ascii="仿宋_GB2312" w:hAnsi="Calibri" w:eastAsia="仿宋_GB2312" w:cs="Times New Roman"/>
          <w:color w:val="auto"/>
          <w:sz w:val="32"/>
          <w:szCs w:val="32"/>
          <w:lang w:val="en-US" w:eastAsia="zh-CN"/>
        </w:rPr>
        <w:t>2</w:t>
      </w:r>
      <w:r>
        <w:rPr>
          <w:rFonts w:hint="default" w:ascii="仿宋_GB2312" w:hAnsi="Calibri" w:eastAsia="仿宋_GB2312" w:cs="Times New Roman"/>
          <w:color w:val="auto"/>
          <w:sz w:val="32"/>
          <w:szCs w:val="32"/>
          <w:lang w:eastAsia="zh-CN"/>
        </w:rPr>
        <w:t xml:space="preserve"> 年，家庭经济困难学生失学率为 0，受补助中职学生全部结业且就业率达到 100%，项目整体实施效果较佳，取得了较好的 社会效益，在促进中等职业教育发展、促进教育公平方面取 得显著的成效</w:t>
      </w:r>
      <w:r>
        <w:rPr>
          <w:rFonts w:hint="eastAsia" w:ascii="仿宋_GB2312" w:hAnsi="Calibri"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（三）绩效指标完成情况分析</w:t>
      </w:r>
    </w:p>
    <w:p>
      <w:pPr>
        <w:keepNext w:val="0"/>
        <w:keepLines w:val="0"/>
        <w:pageBreakBefore w:val="0"/>
        <w:widowControl w:val="0"/>
        <w:kinsoku/>
        <w:wordWrap/>
        <w:overflowPunct/>
        <w:topLinePunct w:val="0"/>
        <w:autoSpaceDE/>
        <w:autoSpaceDN/>
        <w:bidi w:val="0"/>
        <w:spacing w:line="580" w:lineRule="exact"/>
        <w:ind w:firstLine="631"/>
        <w:textAlignment w:val="auto"/>
        <w:rPr>
          <w:rFonts w:hint="eastAsia" w:ascii="仿宋_GB2312" w:hAnsi="Calibri" w:eastAsia="仿宋_GB2312" w:cs="Times New Roman"/>
          <w:color w:val="auto"/>
          <w:sz w:val="32"/>
          <w:szCs w:val="32"/>
          <w:lang w:val="zh-CN" w:eastAsia="zh-CN"/>
        </w:rPr>
      </w:pPr>
      <w:r>
        <w:rPr>
          <w:rFonts w:hint="eastAsia" w:ascii="仿宋_GB2312" w:hAnsi="Calibri" w:eastAsia="仿宋_GB2312" w:cs="Times New Roman"/>
          <w:color w:val="auto"/>
          <w:sz w:val="32"/>
          <w:szCs w:val="32"/>
          <w:lang w:val="en-US" w:eastAsia="zh-CN"/>
        </w:rPr>
        <w:t>1.2022年</w:t>
      </w:r>
      <w:r>
        <w:rPr>
          <w:rFonts w:hint="eastAsia" w:ascii="仿宋_GB2312" w:hAnsi="Calibri" w:eastAsia="仿宋_GB2312" w:cs="Times New Roman"/>
          <w:color w:val="auto"/>
          <w:sz w:val="32"/>
          <w:szCs w:val="32"/>
          <w:highlight w:val="none"/>
          <w:lang w:val="en-US" w:eastAsia="zh-CN"/>
        </w:rPr>
        <w:t>中免学费集中连片特困地区学生全覆盖。</w:t>
      </w:r>
      <w:r>
        <w:rPr>
          <w:rFonts w:hint="eastAsia" w:ascii="仿宋_GB2312" w:hAnsi="Calibri" w:eastAsia="仿宋_GB2312" w:cs="Times New Roman"/>
          <w:color w:val="auto"/>
          <w:sz w:val="32"/>
          <w:szCs w:val="32"/>
          <w:lang w:val="zh-CN" w:eastAsia="zh-CN"/>
        </w:rPr>
        <w:t>项目的申请、设立过程符合相关要求，设定的绩效目标合理，绩效指标细化、明确、清晰、可衡量。全面落实了精准资助，</w:t>
      </w:r>
      <w:r>
        <w:rPr>
          <w:rFonts w:hint="eastAsia" w:ascii="仿宋_GB2312" w:hAnsi="Calibri" w:eastAsia="仿宋_GB2312" w:cs="Times New Roman"/>
          <w:color w:val="auto"/>
          <w:sz w:val="32"/>
          <w:szCs w:val="32"/>
          <w:lang w:val="en-US" w:eastAsia="zh-CN"/>
        </w:rPr>
        <w:t>困难学生资助政策全覆盖，所有建档立卡等家庭经济困难学生全部纳入资助范围并优先享受最高档资助。</w:t>
      </w:r>
      <w:r>
        <w:rPr>
          <w:rFonts w:hint="eastAsia" w:ascii="仿宋_GB2312" w:hAnsi="Calibri" w:eastAsia="仿宋_GB2312" w:cs="Times New Roman"/>
          <w:color w:val="auto"/>
          <w:sz w:val="32"/>
          <w:szCs w:val="32"/>
          <w:lang w:eastAsia="zh-CN"/>
        </w:rPr>
        <w:t>益阳市</w:t>
      </w:r>
      <w:r>
        <w:rPr>
          <w:rFonts w:hint="eastAsia" w:ascii="仿宋_GB2312" w:hAnsi="Calibri" w:eastAsia="仿宋_GB2312" w:cs="Times New Roman"/>
          <w:color w:val="auto"/>
          <w:sz w:val="32"/>
          <w:szCs w:val="32"/>
          <w:lang w:val="en-US" w:eastAsia="zh-CN"/>
        </w:rPr>
        <w:t>2022</w:t>
      </w:r>
      <w:r>
        <w:rPr>
          <w:rFonts w:hint="default" w:ascii="仿宋_GB2312" w:hAnsi="Calibri" w:eastAsia="仿宋_GB2312" w:cs="Times New Roman"/>
          <w:color w:val="auto"/>
          <w:sz w:val="32"/>
          <w:szCs w:val="32"/>
          <w:lang w:eastAsia="zh-CN"/>
        </w:rPr>
        <w:t>年中职免学费补助资金共补助中职学生</w:t>
      </w:r>
      <w:r>
        <w:rPr>
          <w:rFonts w:hint="eastAsia" w:ascii="仿宋_GB2312" w:hAnsi="Calibri" w:eastAsia="仿宋_GB2312" w:cs="Times New Roman"/>
          <w:color w:val="auto"/>
          <w:sz w:val="32"/>
          <w:szCs w:val="32"/>
          <w:lang w:val="en-US" w:eastAsia="zh-CN"/>
        </w:rPr>
        <w:t>26382</w:t>
      </w:r>
      <w:r>
        <w:rPr>
          <w:rFonts w:hint="default" w:ascii="仿宋_GB2312" w:hAnsi="Calibri" w:eastAsia="仿宋_GB2312" w:cs="Times New Roman"/>
          <w:color w:val="auto"/>
          <w:sz w:val="32"/>
          <w:szCs w:val="32"/>
          <w:lang w:eastAsia="zh-CN"/>
        </w:rPr>
        <w:t xml:space="preserve">人次，发放补助金额 </w:t>
      </w:r>
      <w:r>
        <w:rPr>
          <w:rFonts w:hint="eastAsia" w:ascii="仿宋_GB2312" w:hAnsi="Calibri" w:eastAsia="仿宋_GB2312" w:cs="Times New Roman"/>
          <w:color w:val="auto"/>
          <w:sz w:val="32"/>
          <w:szCs w:val="32"/>
          <w:lang w:val="en-US" w:eastAsia="zh-CN"/>
        </w:rPr>
        <w:t>1414.276</w:t>
      </w:r>
      <w:r>
        <w:rPr>
          <w:rFonts w:hint="default" w:ascii="仿宋_GB2312" w:hAnsi="Calibri" w:eastAsia="仿宋_GB2312" w:cs="Times New Roman"/>
          <w:color w:val="auto"/>
          <w:sz w:val="32"/>
          <w:szCs w:val="32"/>
          <w:lang w:eastAsia="zh-CN"/>
        </w:rPr>
        <w:t>万元</w:t>
      </w:r>
      <w:r>
        <w:rPr>
          <w:rFonts w:hint="eastAsia" w:ascii="仿宋_GB2312" w:hAnsi="Calibri" w:eastAsia="仿宋_GB2312" w:cs="Times New Roman"/>
          <w:color w:val="auto"/>
          <w:sz w:val="32"/>
          <w:szCs w:val="32"/>
          <w:lang w:eastAsia="zh-CN"/>
        </w:rPr>
        <w:t>，</w:t>
      </w:r>
      <w:r>
        <w:rPr>
          <w:rFonts w:hint="eastAsia" w:eastAsia="仿宋_GB2312"/>
          <w:sz w:val="32"/>
          <w:szCs w:val="32"/>
          <w:lang w:eastAsia="zh-CN"/>
        </w:rPr>
        <w:t>实现了</w:t>
      </w:r>
      <w:r>
        <w:rPr>
          <w:rFonts w:hint="eastAsia" w:eastAsia="仿宋_GB2312"/>
          <w:sz w:val="32"/>
          <w:szCs w:val="32"/>
        </w:rPr>
        <w:t>对家庭经济困难</w:t>
      </w:r>
      <w:r>
        <w:rPr>
          <w:rFonts w:hint="eastAsia" w:eastAsia="仿宋_GB2312"/>
          <w:sz w:val="32"/>
          <w:szCs w:val="32"/>
          <w:lang w:eastAsia="zh-CN"/>
        </w:rPr>
        <w:t>学生应助尽助</w:t>
      </w:r>
      <w:r>
        <w:rPr>
          <w:rFonts w:hint="eastAsia" w:eastAsia="仿宋_GB2312"/>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eastAsia="仿宋_GB2312"/>
          <w:sz w:val="32"/>
          <w:szCs w:val="32"/>
          <w:lang w:val="en-US" w:eastAsia="zh-CN"/>
        </w:rPr>
        <w:t>2.中职免学费全面落实了精准资助，实现了全区建档立卡等家庭经济困难学生资助政策全覆盖，所有建档立卡等家庭经济困难学生全部纳入资助范围并优先享受最高档资助。</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3.中职助学金均及时足额发放，</w:t>
      </w:r>
      <w:r>
        <w:rPr>
          <w:rFonts w:hint="eastAsia" w:ascii="仿宋_GB2312" w:hAnsi="Calibri" w:eastAsia="仿宋_GB2312" w:cs="Times New Roman"/>
          <w:color w:val="auto"/>
          <w:sz w:val="32"/>
          <w:szCs w:val="32"/>
          <w:lang w:val="zh-CN" w:eastAsia="zh-CN"/>
        </w:rPr>
        <w:t xml:space="preserve"> </w:t>
      </w:r>
      <w:r>
        <w:rPr>
          <w:rFonts w:hint="eastAsia" w:ascii="仿宋_GB2312" w:hAnsi="Calibri" w:eastAsia="仿宋_GB2312" w:cs="Times New Roman"/>
          <w:color w:val="auto"/>
          <w:sz w:val="32"/>
          <w:szCs w:val="32"/>
          <w:lang w:eastAsia="zh-CN"/>
        </w:rPr>
        <w:t>确保了所有资助项目及时发放，春季学期资助在</w:t>
      </w:r>
      <w:r>
        <w:rPr>
          <w:rFonts w:hint="eastAsia" w:ascii="仿宋_GB2312" w:hAnsi="Calibri" w:eastAsia="仿宋_GB2312" w:cs="Times New Roman"/>
          <w:color w:val="auto"/>
          <w:sz w:val="32"/>
          <w:szCs w:val="32"/>
          <w:lang w:val="en-US" w:eastAsia="zh-CN"/>
        </w:rPr>
        <w:t>5月底前完成发放，秋季学期资助在11月底前完成发放。</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4.</w:t>
      </w:r>
      <w:r>
        <w:rPr>
          <w:rFonts w:hint="eastAsia" w:ascii="仿宋_GB2312" w:hAnsi="Calibri" w:eastAsia="仿宋_GB2312" w:cs="Times New Roman"/>
          <w:color w:val="auto"/>
          <w:sz w:val="32"/>
          <w:szCs w:val="32"/>
          <w:lang w:eastAsia="zh-CN"/>
        </w:rPr>
        <w:t>职业技能鉴定考试成绩优异，今年在校学生与短期培训班学员参加职业技能鉴定考试合格率达9</w:t>
      </w:r>
      <w:r>
        <w:rPr>
          <w:rFonts w:hint="default" w:ascii="仿宋_GB2312" w:hAnsi="Calibri" w:eastAsia="仿宋_GB2312" w:cs="Times New Roman"/>
          <w:color w:val="auto"/>
          <w:sz w:val="32"/>
          <w:szCs w:val="32"/>
          <w:lang w:eastAsia="zh-CN"/>
        </w:rPr>
        <w:t>8%</w:t>
      </w:r>
      <w:r>
        <w:rPr>
          <w:rFonts w:hint="eastAsia" w:ascii="仿宋_GB2312" w:hAnsi="Calibri" w:eastAsia="仿宋_GB2312" w:cs="Times New Roman"/>
          <w:color w:val="auto"/>
          <w:sz w:val="32"/>
          <w:szCs w:val="32"/>
          <w:lang w:eastAsia="zh-CN"/>
        </w:rPr>
        <w:t>。对口高考实现突破，在抓技能教学的同时，开始重视对口升学，</w:t>
      </w:r>
      <w:r>
        <w:rPr>
          <w:rFonts w:hint="default" w:ascii="仿宋_GB2312" w:hAnsi="Calibri" w:eastAsia="仿宋_GB2312" w:cs="Times New Roman"/>
          <w:color w:val="auto"/>
          <w:sz w:val="32"/>
          <w:szCs w:val="32"/>
          <w:lang w:eastAsia="zh-CN"/>
        </w:rPr>
        <w:t>2022</w:t>
      </w:r>
      <w:r>
        <w:rPr>
          <w:rFonts w:hint="eastAsia" w:ascii="仿宋_GB2312" w:hAnsi="Calibri" w:eastAsia="仿宋_GB2312" w:cs="Times New Roman"/>
          <w:color w:val="auto"/>
          <w:sz w:val="32"/>
          <w:szCs w:val="32"/>
          <w:lang w:eastAsia="zh-CN"/>
        </w:rPr>
        <w:t xml:space="preserve">年，对口高考本科上线人数喜获历史突破。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5.</w:t>
      </w:r>
      <w:r>
        <w:rPr>
          <w:rFonts w:hint="eastAsia" w:ascii="仿宋_GB2312" w:hAnsi="Calibri" w:eastAsia="仿宋_GB2312" w:cs="Times New Roman"/>
          <w:color w:val="auto"/>
          <w:sz w:val="32"/>
          <w:szCs w:val="32"/>
          <w:lang w:eastAsia="zh-CN"/>
        </w:rPr>
        <w:t>校技合作有深度。招生就业办与学校领导外出考察实习单位，并通过反复细致研讨、论证，将十几个实习单位确定下来，继续扩大了校企合作。</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6.</w:t>
      </w:r>
      <w:r>
        <w:rPr>
          <w:rFonts w:hint="eastAsia" w:ascii="仿宋_GB2312" w:hAnsi="Calibri" w:eastAsia="仿宋_GB2312" w:cs="Times New Roman"/>
          <w:color w:val="auto"/>
          <w:sz w:val="32"/>
          <w:szCs w:val="32"/>
          <w:lang w:eastAsia="zh-CN"/>
        </w:rPr>
        <w:t>项目的满意度</w:t>
      </w:r>
      <w:r>
        <w:rPr>
          <w:rFonts w:hint="eastAsia" w:ascii="仿宋_GB2312" w:hAnsi="Calibri" w:eastAsia="仿宋_GB2312" w:cs="Times New Roman"/>
          <w:color w:val="auto"/>
          <w:sz w:val="32"/>
          <w:szCs w:val="32"/>
          <w:lang w:val="en-US" w:eastAsia="zh-CN"/>
        </w:rPr>
        <w:t>高。</w:t>
      </w:r>
      <w:r>
        <w:rPr>
          <w:rFonts w:hint="eastAsia" w:ascii="仿宋_GB2312" w:hAnsi="Calibri" w:eastAsia="仿宋_GB2312" w:cs="Times New Roman"/>
          <w:color w:val="auto"/>
          <w:sz w:val="32"/>
          <w:szCs w:val="32"/>
          <w:lang w:eastAsia="zh-CN"/>
        </w:rPr>
        <w:t>通过严格规范的资助管理、热情周到的服务，项目的实施得到了学生家长的好评，</w:t>
      </w:r>
      <w:r>
        <w:rPr>
          <w:rFonts w:hint="eastAsia" w:ascii="仿宋_GB2312" w:hAnsi="Calibri" w:eastAsia="仿宋_GB2312" w:cs="Times New Roman"/>
          <w:color w:val="auto"/>
          <w:sz w:val="32"/>
          <w:szCs w:val="32"/>
          <w:lang w:val="zh-CN" w:eastAsia="zh-CN"/>
        </w:rPr>
        <w:t>对经济效益、社会效益、生态效益都较好，社会公众的满意度</w:t>
      </w:r>
      <w:r>
        <w:rPr>
          <w:rFonts w:hint="eastAsia" w:ascii="仿宋_GB2312" w:hAnsi="Calibri"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7.促进中职教育的可持续发展。中职助学金推动了</w:t>
      </w:r>
      <w:r>
        <w:rPr>
          <w:rFonts w:hint="eastAsia" w:ascii="仿宋_GB2312" w:hAnsi="Calibri" w:eastAsia="仿宋_GB2312" w:cs="Times New Roman"/>
          <w:color w:val="auto"/>
          <w:sz w:val="32"/>
          <w:szCs w:val="32"/>
          <w:lang w:val="zh-CN" w:eastAsia="zh-CN"/>
        </w:rPr>
        <w:t>贯彻国家鼓励更多适龄青年就读中等职业技术学校的教育方针和国家助学政策，能让家庭经济困难学生安心在校学习专业技能，不让一个学生因贫辍学，同时</w:t>
      </w:r>
      <w:r>
        <w:rPr>
          <w:rFonts w:hint="eastAsia" w:ascii="仿宋_GB2312" w:hAnsi="Calibri" w:eastAsia="仿宋_GB2312" w:cs="Times New Roman"/>
          <w:color w:val="auto"/>
          <w:sz w:val="32"/>
          <w:szCs w:val="32"/>
          <w:lang w:val="en-US" w:eastAsia="zh-CN"/>
        </w:rPr>
        <w:t>促进了中职教育的可持续发展，</w:t>
      </w:r>
      <w:r>
        <w:rPr>
          <w:rFonts w:hint="eastAsia" w:ascii="仿宋_GB2312" w:hAnsi="Calibri" w:eastAsia="仿宋_GB2312" w:cs="Times New Roman"/>
          <w:color w:val="auto"/>
          <w:sz w:val="32"/>
          <w:szCs w:val="32"/>
          <w:lang w:val="zh-CN" w:eastAsia="zh-CN"/>
        </w:rPr>
        <w:t>为县域经济发展和乡村振兴提供人才保障和技术支持，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五、存在问题和改进建议</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eastAsia="zh-CN"/>
        </w:rPr>
        <w:t xml:space="preserve">（一）免学费资金到位不够及时。建议每年免学费资金按两次拨付，上半年预拨大部分资金，下半年清算后付清。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eastAsia="zh-CN"/>
        </w:rPr>
        <w:t>（二）免学费资金标准有待提高。建议免学费资金标准,应根据国家经济发展速度及物价上涨水平,适当提高中职免学费资金标准。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六、绩效自评结果拟应用和公开情况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1.针对</w:t>
      </w:r>
      <w:r>
        <w:rPr>
          <w:rFonts w:hint="eastAsia" w:ascii="仿宋_GB2312" w:hAnsi="Calibri" w:eastAsia="仿宋_GB2312" w:cs="Times New Roman"/>
          <w:color w:val="auto"/>
          <w:sz w:val="32"/>
          <w:szCs w:val="32"/>
          <w:lang w:eastAsia="zh-CN"/>
        </w:rPr>
        <w:t>绩效自评中发现的问题制定切实可行的整改措施并落实到位。</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lang w:eastAsia="zh-CN"/>
        </w:rPr>
        <w:t>市直教育单位自评结果将应用到下一年度的资金安排和项目立项。</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3.绩效自评报告在</w:t>
      </w:r>
      <w:r>
        <w:rPr>
          <w:rFonts w:hint="eastAsia" w:ascii="仿宋_GB2312" w:hAnsi="Calibri" w:eastAsia="仿宋_GB2312" w:cs="Times New Roman"/>
          <w:color w:val="auto"/>
          <w:sz w:val="32"/>
          <w:szCs w:val="32"/>
          <w:lang w:eastAsia="zh-CN"/>
        </w:rPr>
        <w:t>益阳市教育局网公开，接受广大群众监督。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七、其他需要说明的</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无。</w:t>
      </w:r>
    </w:p>
    <w:p>
      <w:pPr>
        <w:keepNext w:val="0"/>
        <w:keepLines w:val="0"/>
        <w:pageBreakBefore w:val="0"/>
        <w:kinsoku/>
        <w:wordWrap/>
        <w:overflowPunct/>
        <w:topLinePunct/>
        <w:autoSpaceDE/>
        <w:autoSpaceDN/>
        <w:bidi w:val="0"/>
        <w:spacing w:line="580" w:lineRule="exact"/>
        <w:ind w:left="0" w:firstLine="629"/>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2022年度</w:t>
      </w:r>
      <w:r>
        <w:rPr>
          <w:rFonts w:hint="eastAsia" w:ascii="仿宋" w:hAnsi="仿宋" w:eastAsia="仿宋" w:cs="仿宋"/>
          <w:sz w:val="32"/>
          <w:szCs w:val="32"/>
        </w:rPr>
        <w:t>项目支出绩效自评表</w:t>
      </w:r>
    </w:p>
    <w:p>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Calibri"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80" w:firstLineChars="19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eastAsia="zh-CN"/>
        </w:rPr>
        <w:t>益阳市教育局</w:t>
      </w:r>
    </w:p>
    <w:p>
      <w:pPr>
        <w:keepNext w:val="0"/>
        <w:keepLines w:val="0"/>
        <w:pageBreakBefore w:val="0"/>
        <w:widowControl w:val="0"/>
        <w:kinsoku/>
        <w:wordWrap/>
        <w:overflowPunct/>
        <w:topLinePunct w:val="0"/>
        <w:autoSpaceDE/>
        <w:autoSpaceDN/>
        <w:bidi w:val="0"/>
        <w:spacing w:line="580" w:lineRule="exact"/>
        <w:ind w:firstLine="5760" w:firstLineChars="1800"/>
        <w:jc w:val="both"/>
        <w:textAlignment w:val="auto"/>
        <w:rPr>
          <w:rFonts w:ascii="仿宋_GB2312" w:hAnsi="仿宋"/>
          <w:sz w:val="30"/>
          <w:szCs w:val="30"/>
        </w:rPr>
      </w:pPr>
      <w:r>
        <w:rPr>
          <w:rFonts w:hint="eastAsia" w:ascii="仿宋_GB2312" w:hAnsi="Calibri" w:eastAsia="仿宋_GB2312" w:cs="Times New Roman"/>
          <w:color w:val="auto"/>
          <w:sz w:val="32"/>
          <w:szCs w:val="32"/>
          <w:lang w:eastAsia="zh-CN"/>
        </w:rPr>
        <w:t>2023年3月18日</w:t>
      </w:r>
    </w:p>
    <w:p>
      <w:pPr>
        <w:adjustRightInd w:val="0"/>
        <w:snapToGrid w:val="0"/>
        <w:spacing w:line="600" w:lineRule="exact"/>
        <w:ind w:firstLine="600" w:firstLineChars="200"/>
        <w:rPr>
          <w:rFonts w:ascii="仿宋_GB2312" w:hAnsi="仿宋"/>
          <w:sz w:val="30"/>
          <w:szCs w:val="30"/>
        </w:rPr>
      </w:pPr>
    </w:p>
    <w:p>
      <w:pPr>
        <w:pStyle w:val="2"/>
        <w:rPr>
          <w:rFonts w:hint="eastAsia" w:ascii="仿宋_GB2312" w:hAnsi="Calibri" w:eastAsia="仿宋_GB2312" w:cs="Times New Roman"/>
          <w:color w:val="auto"/>
          <w:sz w:val="30"/>
          <w:szCs w:val="30"/>
          <w:lang w:val="en-US" w:eastAsia="zh-CN"/>
        </w:rPr>
        <w:sectPr>
          <w:headerReference r:id="rId3" w:type="default"/>
          <w:footerReference r:id="rId4" w:type="default"/>
          <w:pgSz w:w="11906" w:h="16839"/>
          <w:pgMar w:top="1587" w:right="1361" w:bottom="1361" w:left="1587" w:header="0" w:footer="907" w:gutter="0"/>
          <w:pgNumType w:fmt="decimal"/>
          <w:cols w:space="720" w:num="1"/>
        </w:sect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2022年度项目支出绩效自评表</w:t>
      </w:r>
    </w:p>
    <w:tbl>
      <w:tblPr>
        <w:tblStyle w:val="6"/>
        <w:tblW w:w="8760" w:type="dxa"/>
        <w:jc w:val="center"/>
        <w:tblLayout w:type="fixed"/>
        <w:tblCellMar>
          <w:top w:w="0" w:type="dxa"/>
          <w:left w:w="108" w:type="dxa"/>
          <w:bottom w:w="0" w:type="dxa"/>
          <w:right w:w="108" w:type="dxa"/>
        </w:tblCellMar>
      </w:tblPr>
      <w:tblGrid>
        <w:gridCol w:w="946"/>
        <w:gridCol w:w="570"/>
        <w:gridCol w:w="1188"/>
        <w:gridCol w:w="1429"/>
        <w:gridCol w:w="925"/>
        <w:gridCol w:w="925"/>
        <w:gridCol w:w="639"/>
        <w:gridCol w:w="765"/>
        <w:gridCol w:w="1373"/>
      </w:tblGrid>
      <w:tr>
        <w:tblPrEx>
          <w:tblCellMar>
            <w:top w:w="0" w:type="dxa"/>
            <w:left w:w="108" w:type="dxa"/>
            <w:bottom w:w="0" w:type="dxa"/>
            <w:right w:w="108" w:type="dxa"/>
          </w:tblCellMar>
        </w:tblPrEx>
        <w:trPr>
          <w:trHeight w:val="304"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项目名称</w:t>
            </w:r>
          </w:p>
        </w:tc>
        <w:tc>
          <w:tcPr>
            <w:tcW w:w="781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eastAsia="zh-CN"/>
              </w:rPr>
              <w:t>中职免学费市级配套</w:t>
            </w: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406" w:hRule="atLeast"/>
          <w:jc w:val="center"/>
        </w:trPr>
        <w:tc>
          <w:tcPr>
            <w:tcW w:w="9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主管部门</w:t>
            </w:r>
          </w:p>
        </w:tc>
        <w:tc>
          <w:tcPr>
            <w:tcW w:w="411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益阳市教育局</w:t>
            </w:r>
          </w:p>
        </w:tc>
        <w:tc>
          <w:tcPr>
            <w:tcW w:w="92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实施单位</w:t>
            </w:r>
          </w:p>
        </w:tc>
        <w:tc>
          <w:tcPr>
            <w:tcW w:w="27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rPr>
              <w:t>　</w:t>
            </w:r>
            <w:r>
              <w:rPr>
                <w:rFonts w:hint="eastAsia" w:ascii="仿宋" w:hAnsi="仿宋" w:eastAsia="仿宋" w:cs="仿宋"/>
                <w:color w:val="000000"/>
                <w:w w:val="80"/>
                <w:kern w:val="0"/>
                <w:sz w:val="21"/>
                <w:szCs w:val="21"/>
                <w:lang w:eastAsia="zh-CN"/>
              </w:rPr>
              <w:t>赫山、资阳、市直学校</w:t>
            </w:r>
          </w:p>
        </w:tc>
      </w:tr>
      <w:tr>
        <w:tblPrEx>
          <w:tblCellMar>
            <w:top w:w="0" w:type="dxa"/>
            <w:left w:w="108" w:type="dxa"/>
            <w:bottom w:w="0" w:type="dxa"/>
            <w:right w:w="108" w:type="dxa"/>
          </w:tblCellMar>
        </w:tblPrEx>
        <w:trPr>
          <w:trHeight w:val="598" w:hRule="atLeast"/>
          <w:jc w:val="center"/>
        </w:trPr>
        <w:tc>
          <w:tcPr>
            <w:tcW w:w="94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rPr>
              <w:t>项目资金</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（万元）</w:t>
            </w:r>
          </w:p>
        </w:tc>
        <w:tc>
          <w:tcPr>
            <w:tcW w:w="17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年初</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预算数</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全年</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预算数</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全年</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执行数</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分值</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执行率</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得分</w:t>
            </w:r>
          </w:p>
        </w:tc>
      </w:tr>
      <w:tr>
        <w:tblPrEx>
          <w:tblCellMar>
            <w:top w:w="0" w:type="dxa"/>
            <w:left w:w="108" w:type="dxa"/>
            <w:bottom w:w="0" w:type="dxa"/>
            <w:right w:w="108" w:type="dxa"/>
          </w:tblCellMar>
        </w:tblPrEx>
        <w:trPr>
          <w:trHeight w:val="598" w:hRule="atLeast"/>
          <w:jc w:val="center"/>
        </w:trPr>
        <w:tc>
          <w:tcPr>
            <w:tcW w:w="9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年度资金总额　</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1414.276</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1414.276</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w:t>
            </w:r>
          </w:p>
        </w:tc>
      </w:tr>
      <w:tr>
        <w:tblPrEx>
          <w:tblCellMar>
            <w:top w:w="0" w:type="dxa"/>
            <w:left w:w="108" w:type="dxa"/>
            <w:bottom w:w="0" w:type="dxa"/>
            <w:right w:w="108" w:type="dxa"/>
          </w:tblCellMar>
        </w:tblPrEx>
        <w:trPr>
          <w:trHeight w:val="598" w:hRule="atLeast"/>
          <w:jc w:val="center"/>
        </w:trPr>
        <w:tc>
          <w:tcPr>
            <w:tcW w:w="9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其中：当年财政拨款　</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1414.276</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1414.276</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w:t>
            </w:r>
          </w:p>
        </w:tc>
      </w:tr>
      <w:tr>
        <w:tblPrEx>
          <w:tblCellMar>
            <w:top w:w="0" w:type="dxa"/>
            <w:left w:w="108" w:type="dxa"/>
            <w:bottom w:w="0" w:type="dxa"/>
            <w:right w:w="108" w:type="dxa"/>
          </w:tblCellMar>
        </w:tblPrEx>
        <w:trPr>
          <w:trHeight w:val="304" w:hRule="atLeast"/>
          <w:jc w:val="center"/>
        </w:trPr>
        <w:tc>
          <w:tcPr>
            <w:tcW w:w="9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336" w:firstLineChars="200"/>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上年结转资金　</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r>
      <w:tr>
        <w:tblPrEx>
          <w:tblCellMar>
            <w:top w:w="0" w:type="dxa"/>
            <w:left w:w="108" w:type="dxa"/>
            <w:bottom w:w="0" w:type="dxa"/>
            <w:right w:w="108" w:type="dxa"/>
          </w:tblCellMar>
        </w:tblPrEx>
        <w:trPr>
          <w:trHeight w:val="304" w:hRule="atLeast"/>
          <w:jc w:val="center"/>
        </w:trPr>
        <w:tc>
          <w:tcPr>
            <w:tcW w:w="9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504" w:firstLineChars="300"/>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其他资金</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304" w:hRule="atLeast"/>
          <w:jc w:val="center"/>
        </w:trPr>
        <w:tc>
          <w:tcPr>
            <w:tcW w:w="94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年度总体目标</w:t>
            </w:r>
          </w:p>
        </w:tc>
        <w:tc>
          <w:tcPr>
            <w:tcW w:w="411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预期目标</w:t>
            </w:r>
          </w:p>
        </w:tc>
        <w:tc>
          <w:tcPr>
            <w:tcW w:w="370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实际完成情况　</w:t>
            </w:r>
          </w:p>
        </w:tc>
      </w:tr>
      <w:tr>
        <w:tblPrEx>
          <w:tblCellMar>
            <w:top w:w="0" w:type="dxa"/>
            <w:left w:w="108" w:type="dxa"/>
            <w:bottom w:w="0" w:type="dxa"/>
            <w:right w:w="108" w:type="dxa"/>
          </w:tblCellMar>
        </w:tblPrEx>
        <w:trPr>
          <w:trHeight w:val="893" w:hRule="atLeast"/>
          <w:jc w:val="center"/>
        </w:trPr>
        <w:tc>
          <w:tcPr>
            <w:tcW w:w="94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411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w w:val="80"/>
                <w:sz w:val="21"/>
                <w:szCs w:val="21"/>
                <w:lang w:val="en-US" w:eastAsia="zh-CN"/>
              </w:rPr>
              <w:t xml:space="preserve">    </w:t>
            </w:r>
            <w:r>
              <w:rPr>
                <w:rFonts w:hint="eastAsia" w:ascii="仿宋" w:hAnsi="仿宋" w:eastAsia="仿宋" w:cs="仿宋"/>
                <w:w w:val="80"/>
                <w:sz w:val="21"/>
                <w:szCs w:val="21"/>
              </w:rPr>
              <w:t>通过实施义务教育阶段学校校舍维修改造项目，改善学校基础设施，提高学校办学水平，推动教育均衡发展。</w:t>
            </w:r>
            <w:r>
              <w:rPr>
                <w:rFonts w:hint="eastAsia" w:ascii="仿宋" w:hAnsi="仿宋" w:eastAsia="仿宋" w:cs="仿宋"/>
                <w:color w:val="000000"/>
                <w:w w:val="80"/>
                <w:kern w:val="0"/>
                <w:sz w:val="21"/>
                <w:szCs w:val="21"/>
              </w:rPr>
              <w:t>　　</w:t>
            </w:r>
          </w:p>
        </w:tc>
        <w:tc>
          <w:tcPr>
            <w:tcW w:w="370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w w:val="80"/>
                <w:sz w:val="21"/>
                <w:szCs w:val="21"/>
              </w:rPr>
              <w:t>改善了学校基础设施，提高了学校办学水平。</w:t>
            </w:r>
          </w:p>
        </w:tc>
      </w:tr>
      <w:tr>
        <w:tblPrEx>
          <w:tblCellMar>
            <w:top w:w="0" w:type="dxa"/>
            <w:left w:w="108" w:type="dxa"/>
            <w:bottom w:w="0" w:type="dxa"/>
            <w:right w:w="108" w:type="dxa"/>
          </w:tblCellMar>
        </w:tblPrEx>
        <w:trPr>
          <w:trHeight w:val="598" w:hRule="atLeast"/>
          <w:jc w:val="center"/>
        </w:trPr>
        <w:tc>
          <w:tcPr>
            <w:tcW w:w="946"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绩</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标</w:t>
            </w:r>
          </w:p>
        </w:tc>
        <w:tc>
          <w:tcPr>
            <w:tcW w:w="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一级指标</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二级指标</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三级指标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年度</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指标值</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实际</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完成值</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分值</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得分</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偏差原因分析及改进措施</w:t>
            </w:r>
          </w:p>
        </w:tc>
      </w:tr>
      <w:tr>
        <w:tblPrEx>
          <w:tblCellMar>
            <w:top w:w="0" w:type="dxa"/>
            <w:left w:w="108" w:type="dxa"/>
            <w:bottom w:w="0" w:type="dxa"/>
            <w:right w:w="108" w:type="dxa"/>
          </w:tblCellMar>
        </w:tblPrEx>
        <w:trPr>
          <w:trHeight w:val="893"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产出指标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(50分)</w:t>
            </w:r>
          </w:p>
        </w:tc>
        <w:tc>
          <w:tcPr>
            <w:tcW w:w="118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数量指标</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sz w:val="21"/>
                <w:szCs w:val="21"/>
                <w:shd w:val="clear" w:color="auto" w:fill="FFFFFF"/>
                <w:lang w:eastAsia="zh-CN"/>
              </w:rPr>
              <w:t>享受中等职业学校免学费补助完成率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26382</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w w:val="80"/>
                <w:sz w:val="21"/>
                <w:szCs w:val="21"/>
                <w:lang w:val="en-US" w:eastAsia="zh-CN"/>
              </w:rPr>
              <w:t>26382</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668"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质量指标</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受资助学生覆盖率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100%</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r>
              <w:rPr>
                <w:rFonts w:hint="eastAsia" w:ascii="仿宋" w:hAnsi="仿宋" w:eastAsia="仿宋" w:cs="仿宋"/>
                <w:color w:val="000000"/>
                <w:w w:val="80"/>
                <w:kern w:val="0"/>
                <w:sz w:val="21"/>
                <w:szCs w:val="21"/>
              </w:rPr>
              <w:t>%</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r>
      <w:tr>
        <w:tblPrEx>
          <w:tblCellMar>
            <w:top w:w="0" w:type="dxa"/>
            <w:left w:w="108" w:type="dxa"/>
            <w:bottom w:w="0" w:type="dxa"/>
            <w:right w:w="108" w:type="dxa"/>
          </w:tblCellMar>
        </w:tblPrEx>
        <w:trPr>
          <w:trHeight w:val="544"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spacing w:val="-1"/>
                <w:w w:val="80"/>
                <w:sz w:val="21"/>
                <w:szCs w:val="21"/>
              </w:rPr>
              <w:t>补</w:t>
            </w:r>
            <w:r>
              <w:rPr>
                <w:rFonts w:hint="eastAsia" w:ascii="仿宋" w:hAnsi="仿宋" w:eastAsia="仿宋" w:cs="仿宋"/>
                <w:spacing w:val="-2"/>
                <w:w w:val="80"/>
                <w:sz w:val="21"/>
                <w:szCs w:val="21"/>
              </w:rPr>
              <w:t>助资金足额</w:t>
            </w:r>
            <w:r>
              <w:rPr>
                <w:rFonts w:hint="eastAsia" w:ascii="仿宋" w:hAnsi="仿宋" w:eastAsia="仿宋" w:cs="仿宋"/>
                <w:spacing w:val="-1"/>
                <w:w w:val="80"/>
                <w:sz w:val="21"/>
                <w:szCs w:val="21"/>
              </w:rPr>
              <w:t>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2400元/生.年</w:t>
            </w:r>
          </w:p>
        </w:tc>
      </w:tr>
      <w:tr>
        <w:tblPrEx>
          <w:tblCellMar>
            <w:top w:w="0" w:type="dxa"/>
            <w:left w:w="108" w:type="dxa"/>
            <w:bottom w:w="0" w:type="dxa"/>
            <w:right w:w="108" w:type="dxa"/>
          </w:tblCellMar>
        </w:tblPrEx>
        <w:trPr>
          <w:trHeight w:val="683"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时效指标</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spacing w:val="-1"/>
                <w:w w:val="80"/>
                <w:sz w:val="21"/>
                <w:szCs w:val="21"/>
              </w:rPr>
              <w:t>补</w:t>
            </w:r>
            <w:r>
              <w:rPr>
                <w:rFonts w:hint="eastAsia" w:ascii="仿宋" w:hAnsi="仿宋" w:eastAsia="仿宋" w:cs="仿宋"/>
                <w:spacing w:val="-6"/>
                <w:w w:val="80"/>
                <w:sz w:val="21"/>
                <w:szCs w:val="21"/>
              </w:rPr>
              <w:t>助</w:t>
            </w:r>
            <w:r>
              <w:rPr>
                <w:rFonts w:hint="eastAsia" w:ascii="仿宋" w:hAnsi="仿宋" w:eastAsia="仿宋" w:cs="仿宋"/>
                <w:spacing w:val="-4"/>
                <w:w w:val="80"/>
                <w:sz w:val="21"/>
                <w:szCs w:val="21"/>
              </w:rPr>
              <w:t>资金</w:t>
            </w:r>
            <w:r>
              <w:rPr>
                <w:rFonts w:hint="eastAsia" w:ascii="仿宋" w:hAnsi="仿宋" w:eastAsia="仿宋" w:cs="仿宋"/>
                <w:spacing w:val="-6"/>
                <w:w w:val="80"/>
                <w:sz w:val="21"/>
                <w:szCs w:val="21"/>
              </w:rPr>
              <w:t>支</w:t>
            </w:r>
            <w:r>
              <w:rPr>
                <w:rFonts w:hint="eastAsia" w:ascii="仿宋" w:hAnsi="仿宋" w:eastAsia="仿宋" w:cs="仿宋"/>
                <w:spacing w:val="-4"/>
                <w:w w:val="80"/>
                <w:sz w:val="21"/>
                <w:szCs w:val="21"/>
              </w:rPr>
              <w:t>付及</w:t>
            </w:r>
            <w:r>
              <w:rPr>
                <w:rFonts w:hint="eastAsia" w:ascii="仿宋" w:hAnsi="仿宋" w:eastAsia="仿宋" w:cs="仿宋"/>
                <w:spacing w:val="-7"/>
                <w:w w:val="80"/>
                <w:sz w:val="21"/>
                <w:szCs w:val="21"/>
              </w:rPr>
              <w:t>时</w:t>
            </w:r>
            <w:r>
              <w:rPr>
                <w:rFonts w:hint="eastAsia" w:ascii="仿宋" w:hAnsi="仿宋" w:eastAsia="仿宋" w:cs="仿宋"/>
                <w:spacing w:val="-6"/>
                <w:w w:val="80"/>
                <w:sz w:val="21"/>
                <w:szCs w:val="21"/>
              </w:rPr>
              <w:t>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及时</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及时</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r>
      <w:tr>
        <w:tblPrEx>
          <w:tblCellMar>
            <w:top w:w="0" w:type="dxa"/>
            <w:left w:w="108" w:type="dxa"/>
            <w:bottom w:w="0" w:type="dxa"/>
            <w:right w:w="108" w:type="dxa"/>
          </w:tblCellMar>
        </w:tblPrEx>
        <w:trPr>
          <w:trHeight w:val="893"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成本指标</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b/>
                <w:bCs/>
                <w:spacing w:val="-1"/>
                <w:w w:val="80"/>
                <w:sz w:val="21"/>
                <w:szCs w:val="21"/>
              </w:rPr>
            </w:pPr>
            <w:r>
              <w:rPr>
                <w:rFonts w:hint="eastAsia" w:ascii="仿宋" w:hAnsi="仿宋" w:eastAsia="仿宋" w:cs="仿宋"/>
                <w:w w:val="80"/>
                <w:sz w:val="21"/>
                <w:szCs w:val="21"/>
              </w:rPr>
              <w:t>中</w:t>
            </w:r>
            <w:r>
              <w:rPr>
                <w:rFonts w:hint="eastAsia" w:ascii="仿宋" w:hAnsi="仿宋" w:eastAsia="仿宋" w:cs="仿宋"/>
                <w:spacing w:val="-4"/>
                <w:w w:val="80"/>
                <w:sz w:val="21"/>
                <w:szCs w:val="21"/>
              </w:rPr>
              <w:t>等职业</w:t>
            </w:r>
            <w:r>
              <w:rPr>
                <w:rFonts w:hint="eastAsia" w:ascii="仿宋" w:hAnsi="仿宋" w:eastAsia="仿宋" w:cs="仿宋"/>
                <w:w w:val="80"/>
                <w:sz w:val="21"/>
                <w:szCs w:val="21"/>
              </w:rPr>
              <w:t xml:space="preserve"> </w:t>
            </w:r>
            <w:r>
              <w:rPr>
                <w:rFonts w:hint="eastAsia" w:ascii="仿宋" w:hAnsi="仿宋" w:eastAsia="仿宋" w:cs="仿宋"/>
                <w:spacing w:val="-4"/>
                <w:w w:val="80"/>
                <w:sz w:val="21"/>
                <w:szCs w:val="21"/>
              </w:rPr>
              <w:t>学校免</w:t>
            </w:r>
            <w:r>
              <w:rPr>
                <w:rFonts w:hint="eastAsia" w:ascii="仿宋" w:hAnsi="仿宋" w:eastAsia="仿宋" w:cs="仿宋"/>
                <w:w w:val="80"/>
                <w:sz w:val="21"/>
                <w:szCs w:val="21"/>
              </w:rPr>
              <w:t xml:space="preserve"> </w:t>
            </w:r>
            <w:r>
              <w:rPr>
                <w:rFonts w:hint="eastAsia" w:ascii="仿宋" w:hAnsi="仿宋" w:eastAsia="仿宋" w:cs="仿宋"/>
                <w:spacing w:val="-4"/>
                <w:w w:val="80"/>
                <w:sz w:val="21"/>
                <w:szCs w:val="21"/>
              </w:rPr>
              <w:t>学费每</w:t>
            </w:r>
            <w:r>
              <w:rPr>
                <w:rFonts w:hint="eastAsia" w:ascii="仿宋" w:hAnsi="仿宋" w:eastAsia="仿宋" w:cs="仿宋"/>
                <w:w w:val="80"/>
                <w:sz w:val="21"/>
                <w:szCs w:val="21"/>
              </w:rPr>
              <w:t xml:space="preserve"> </w:t>
            </w:r>
            <w:r>
              <w:rPr>
                <w:rFonts w:hint="eastAsia" w:ascii="仿宋" w:hAnsi="仿宋" w:eastAsia="仿宋" w:cs="仿宋"/>
                <w:spacing w:val="-4"/>
                <w:w w:val="80"/>
                <w:sz w:val="21"/>
                <w:szCs w:val="21"/>
              </w:rPr>
              <w:t>学期人</w:t>
            </w:r>
            <w:r>
              <w:rPr>
                <w:rFonts w:hint="eastAsia" w:ascii="仿宋" w:hAnsi="仿宋" w:eastAsia="仿宋" w:cs="仿宋"/>
                <w:w w:val="80"/>
                <w:sz w:val="21"/>
                <w:szCs w:val="21"/>
              </w:rPr>
              <w:t xml:space="preserve"> </w:t>
            </w:r>
            <w:r>
              <w:rPr>
                <w:rFonts w:hint="eastAsia" w:ascii="仿宋" w:hAnsi="仿宋" w:eastAsia="仿宋" w:cs="仿宋"/>
                <w:spacing w:val="-5"/>
                <w:w w:val="80"/>
                <w:sz w:val="21"/>
                <w:szCs w:val="21"/>
              </w:rPr>
              <w:t>均</w:t>
            </w:r>
            <w:r>
              <w:rPr>
                <w:rFonts w:hint="eastAsia" w:ascii="仿宋" w:hAnsi="仿宋" w:eastAsia="仿宋" w:cs="仿宋"/>
                <w:spacing w:val="-3"/>
                <w:w w:val="80"/>
                <w:sz w:val="21"/>
                <w:szCs w:val="21"/>
              </w:rPr>
              <w:t>补助</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100%</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spacing w:val="-6"/>
                <w:w w:val="80"/>
                <w:sz w:val="13"/>
                <w:szCs w:val="13"/>
              </w:rPr>
              <w:t>每学期</w:t>
            </w:r>
            <w:r>
              <w:rPr>
                <w:rFonts w:hint="eastAsia" w:ascii="仿宋" w:hAnsi="仿宋" w:eastAsia="仿宋" w:cs="仿宋"/>
                <w:w w:val="80"/>
                <w:sz w:val="13"/>
                <w:szCs w:val="13"/>
              </w:rPr>
              <w:t xml:space="preserve"> </w:t>
            </w:r>
            <w:r>
              <w:rPr>
                <w:rFonts w:hint="eastAsia" w:ascii="仿宋" w:hAnsi="仿宋" w:eastAsia="仿宋" w:cs="仿宋"/>
                <w:spacing w:val="-1"/>
                <w:w w:val="80"/>
                <w:sz w:val="13"/>
                <w:szCs w:val="13"/>
              </w:rPr>
              <w:t>人均实际补助未超</w:t>
            </w:r>
            <w:r>
              <w:rPr>
                <w:rFonts w:hint="eastAsia" w:ascii="仿宋" w:hAnsi="仿宋" w:eastAsia="仿宋" w:cs="仿宋"/>
                <w:w w:val="80"/>
                <w:sz w:val="13"/>
                <w:szCs w:val="13"/>
              </w:rPr>
              <w:t xml:space="preserve">过人均计 </w:t>
            </w:r>
            <w:r>
              <w:rPr>
                <w:rFonts w:hint="eastAsia" w:ascii="仿宋" w:hAnsi="仿宋" w:eastAsia="仿宋" w:cs="仿宋"/>
                <w:spacing w:val="-1"/>
                <w:w w:val="80"/>
                <w:sz w:val="13"/>
                <w:szCs w:val="13"/>
              </w:rPr>
              <w:t>划补助标准，该指</w:t>
            </w:r>
            <w:r>
              <w:rPr>
                <w:rFonts w:hint="eastAsia" w:ascii="仿宋" w:hAnsi="仿宋" w:eastAsia="仿宋" w:cs="仿宋"/>
                <w:w w:val="80"/>
                <w:sz w:val="13"/>
                <w:szCs w:val="13"/>
              </w:rPr>
              <w:t>标得满分</w:t>
            </w:r>
          </w:p>
        </w:tc>
      </w:tr>
      <w:tr>
        <w:tblPrEx>
          <w:tblCellMar>
            <w:top w:w="0" w:type="dxa"/>
            <w:left w:w="108" w:type="dxa"/>
            <w:bottom w:w="0" w:type="dxa"/>
            <w:right w:w="108" w:type="dxa"/>
          </w:tblCellMar>
        </w:tblPrEx>
        <w:trPr>
          <w:trHeight w:val="598"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效益指标（40分）</w:t>
            </w:r>
          </w:p>
        </w:tc>
        <w:tc>
          <w:tcPr>
            <w:tcW w:w="11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社会效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益指标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社会效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益指标</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w w:val="80"/>
                <w:sz w:val="21"/>
                <w:szCs w:val="21"/>
              </w:rPr>
              <w:t>受</w:t>
            </w:r>
            <w:r>
              <w:rPr>
                <w:rFonts w:hint="eastAsia" w:ascii="仿宋" w:hAnsi="仿宋" w:eastAsia="仿宋" w:cs="仿宋"/>
                <w:spacing w:val="-6"/>
                <w:w w:val="80"/>
                <w:sz w:val="21"/>
                <w:szCs w:val="21"/>
              </w:rPr>
              <w:t>补</w:t>
            </w:r>
            <w:r>
              <w:rPr>
                <w:rFonts w:hint="eastAsia" w:ascii="仿宋" w:hAnsi="仿宋" w:eastAsia="仿宋" w:cs="仿宋"/>
                <w:spacing w:val="-5"/>
                <w:w w:val="80"/>
                <w:sz w:val="21"/>
                <w:szCs w:val="21"/>
              </w:rPr>
              <w:t>助学</w:t>
            </w:r>
            <w:r>
              <w:rPr>
                <w:rFonts w:hint="eastAsia" w:ascii="仿宋" w:hAnsi="仿宋" w:eastAsia="仿宋" w:cs="仿宋"/>
                <w:spacing w:val="-6"/>
                <w:w w:val="80"/>
                <w:sz w:val="21"/>
                <w:szCs w:val="21"/>
              </w:rPr>
              <w:t>生</w:t>
            </w:r>
            <w:r>
              <w:rPr>
                <w:rFonts w:hint="eastAsia" w:ascii="仿宋" w:hAnsi="仿宋" w:eastAsia="仿宋" w:cs="仿宋"/>
                <w:spacing w:val="-5"/>
                <w:w w:val="80"/>
                <w:sz w:val="21"/>
                <w:szCs w:val="21"/>
              </w:rPr>
              <w:t>学业</w:t>
            </w:r>
            <w:r>
              <w:rPr>
                <w:rFonts w:hint="eastAsia" w:ascii="仿宋" w:hAnsi="仿宋" w:eastAsia="仿宋" w:cs="仿宋"/>
                <w:w w:val="80"/>
                <w:sz w:val="21"/>
                <w:szCs w:val="21"/>
              </w:rPr>
              <w:t xml:space="preserve"> </w:t>
            </w:r>
            <w:r>
              <w:rPr>
                <w:rFonts w:hint="eastAsia" w:ascii="仿宋" w:hAnsi="仿宋" w:eastAsia="仿宋" w:cs="仿宋"/>
                <w:spacing w:val="-6"/>
                <w:w w:val="80"/>
                <w:sz w:val="21"/>
                <w:szCs w:val="21"/>
              </w:rPr>
              <w:t>完</w:t>
            </w:r>
            <w:r>
              <w:rPr>
                <w:rFonts w:hint="eastAsia" w:ascii="仿宋" w:hAnsi="仿宋" w:eastAsia="仿宋" w:cs="仿宋"/>
                <w:spacing w:val="-4"/>
                <w:w w:val="80"/>
                <w:sz w:val="21"/>
                <w:szCs w:val="21"/>
              </w:rPr>
              <w:t>成率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597"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w w:val="80"/>
                <w:sz w:val="21"/>
                <w:szCs w:val="21"/>
              </w:rPr>
              <w:t>补</w:t>
            </w:r>
            <w:r>
              <w:rPr>
                <w:rFonts w:hint="eastAsia" w:ascii="仿宋" w:hAnsi="仿宋" w:eastAsia="仿宋" w:cs="仿宋"/>
                <w:spacing w:val="-6"/>
                <w:w w:val="80"/>
                <w:sz w:val="21"/>
                <w:szCs w:val="21"/>
              </w:rPr>
              <w:t>助</w:t>
            </w:r>
            <w:r>
              <w:rPr>
                <w:rFonts w:hint="eastAsia" w:ascii="仿宋" w:hAnsi="仿宋" w:eastAsia="仿宋" w:cs="仿宋"/>
                <w:spacing w:val="-3"/>
                <w:w w:val="80"/>
                <w:sz w:val="21"/>
                <w:szCs w:val="21"/>
              </w:rPr>
              <w:t>政策</w:t>
            </w:r>
            <w:r>
              <w:rPr>
                <w:rFonts w:hint="eastAsia" w:ascii="仿宋" w:hAnsi="仿宋" w:eastAsia="仿宋" w:cs="仿宋"/>
                <w:spacing w:val="-4"/>
                <w:w w:val="80"/>
                <w:sz w:val="21"/>
                <w:szCs w:val="21"/>
              </w:rPr>
              <w:t>知</w:t>
            </w:r>
            <w:r>
              <w:rPr>
                <w:rFonts w:hint="eastAsia" w:ascii="仿宋" w:hAnsi="仿宋" w:eastAsia="仿宋" w:cs="仿宋"/>
                <w:spacing w:val="-3"/>
                <w:w w:val="80"/>
                <w:sz w:val="21"/>
                <w:szCs w:val="21"/>
              </w:rPr>
              <w:t>晓率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both"/>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711"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eastAsia="zh-CN"/>
              </w:rPr>
              <w:t>可持续影响指标</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both"/>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val="en-US" w:eastAsia="zh-CN"/>
              </w:rPr>
              <w:t>100%</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18"/>
                <w:szCs w:val="18"/>
                <w:lang w:eastAsia="zh-CN"/>
              </w:rPr>
              <w:t>学校行政运行、不断改善办学条件</w:t>
            </w:r>
          </w:p>
        </w:tc>
      </w:tr>
      <w:tr>
        <w:tblPrEx>
          <w:tblCellMar>
            <w:top w:w="0" w:type="dxa"/>
            <w:left w:w="108" w:type="dxa"/>
            <w:bottom w:w="0" w:type="dxa"/>
            <w:right w:w="108" w:type="dxa"/>
          </w:tblCellMar>
        </w:tblPrEx>
        <w:trPr>
          <w:trHeight w:val="893" w:hRule="atLeast"/>
          <w:jc w:val="center"/>
        </w:trPr>
        <w:tc>
          <w:tcPr>
            <w:tcW w:w="94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服务对象满意度指标</w:t>
            </w:r>
          </w:p>
        </w:tc>
        <w:tc>
          <w:tcPr>
            <w:tcW w:w="14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highlight w:val="none"/>
              </w:rPr>
            </w:pPr>
            <w:r>
              <w:rPr>
                <w:rFonts w:hint="eastAsia" w:ascii="仿宋" w:hAnsi="仿宋" w:eastAsia="仿宋" w:cs="仿宋"/>
                <w:w w:val="80"/>
                <w:sz w:val="21"/>
                <w:szCs w:val="21"/>
                <w:highlight w:val="none"/>
              </w:rPr>
              <w:t>享</w:t>
            </w:r>
            <w:r>
              <w:rPr>
                <w:rFonts w:hint="eastAsia" w:ascii="仿宋" w:hAnsi="仿宋" w:eastAsia="仿宋" w:cs="仿宋"/>
                <w:spacing w:val="-5"/>
                <w:w w:val="80"/>
                <w:sz w:val="21"/>
                <w:szCs w:val="21"/>
                <w:highlight w:val="none"/>
              </w:rPr>
              <w:t>受</w:t>
            </w:r>
            <w:r>
              <w:rPr>
                <w:rFonts w:hint="eastAsia" w:ascii="仿宋" w:hAnsi="仿宋" w:eastAsia="仿宋" w:cs="仿宋"/>
                <w:spacing w:val="-3"/>
                <w:w w:val="80"/>
                <w:sz w:val="21"/>
                <w:szCs w:val="21"/>
                <w:highlight w:val="none"/>
              </w:rPr>
              <w:t>中等</w:t>
            </w:r>
            <w:r>
              <w:rPr>
                <w:rFonts w:hint="eastAsia" w:ascii="仿宋" w:hAnsi="仿宋" w:eastAsia="仿宋" w:cs="仿宋"/>
                <w:spacing w:val="-5"/>
                <w:w w:val="80"/>
                <w:sz w:val="21"/>
                <w:szCs w:val="21"/>
                <w:highlight w:val="none"/>
              </w:rPr>
              <w:t>职</w:t>
            </w:r>
            <w:r>
              <w:rPr>
                <w:rFonts w:hint="eastAsia" w:ascii="仿宋" w:hAnsi="仿宋" w:eastAsia="仿宋" w:cs="仿宋"/>
                <w:spacing w:val="-3"/>
                <w:w w:val="80"/>
                <w:sz w:val="21"/>
                <w:szCs w:val="21"/>
                <w:highlight w:val="none"/>
              </w:rPr>
              <w:t>业学</w:t>
            </w:r>
            <w:r>
              <w:rPr>
                <w:rFonts w:hint="eastAsia" w:ascii="仿宋" w:hAnsi="仿宋" w:eastAsia="仿宋" w:cs="仿宋"/>
                <w:spacing w:val="-5"/>
                <w:w w:val="80"/>
                <w:sz w:val="21"/>
                <w:szCs w:val="21"/>
                <w:highlight w:val="none"/>
              </w:rPr>
              <w:t>校</w:t>
            </w:r>
            <w:r>
              <w:rPr>
                <w:rFonts w:hint="eastAsia" w:ascii="仿宋" w:hAnsi="仿宋" w:eastAsia="仿宋" w:cs="仿宋"/>
                <w:spacing w:val="-3"/>
                <w:w w:val="80"/>
                <w:sz w:val="21"/>
                <w:szCs w:val="21"/>
                <w:highlight w:val="none"/>
              </w:rPr>
              <w:t>免学</w:t>
            </w:r>
            <w:r>
              <w:rPr>
                <w:rFonts w:hint="eastAsia" w:ascii="仿宋" w:hAnsi="仿宋" w:eastAsia="仿宋" w:cs="仿宋"/>
                <w:spacing w:val="-5"/>
                <w:w w:val="80"/>
                <w:sz w:val="21"/>
                <w:szCs w:val="21"/>
                <w:highlight w:val="none"/>
              </w:rPr>
              <w:t>费</w:t>
            </w:r>
            <w:r>
              <w:rPr>
                <w:rFonts w:hint="eastAsia" w:ascii="仿宋" w:hAnsi="仿宋" w:eastAsia="仿宋" w:cs="仿宋"/>
                <w:spacing w:val="-3"/>
                <w:w w:val="80"/>
                <w:sz w:val="21"/>
                <w:szCs w:val="21"/>
                <w:highlight w:val="none"/>
              </w:rPr>
              <w:t>学生满意度</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sz w:val="21"/>
                <w:szCs w:val="21"/>
                <w:shd w:val="clear" w:color="auto" w:fill="FFFFFF"/>
              </w:rPr>
              <w:t>≧95%</w:t>
            </w:r>
          </w:p>
        </w:tc>
        <w:tc>
          <w:tcPr>
            <w:tcW w:w="9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95%</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8</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833" w:hRule="atLeast"/>
          <w:jc w:val="center"/>
        </w:trPr>
        <w:tc>
          <w:tcPr>
            <w:tcW w:w="598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总</w:t>
            </w:r>
            <w:r>
              <w:rPr>
                <w:rFonts w:hint="eastAsia" w:ascii="仿宋" w:hAnsi="仿宋" w:eastAsia="仿宋" w:cs="仿宋"/>
                <w:color w:val="000000"/>
                <w:w w:val="80"/>
                <w:kern w:val="0"/>
                <w:sz w:val="21"/>
                <w:szCs w:val="21"/>
                <w:lang w:val="en-US" w:eastAsia="zh-CN"/>
              </w:rPr>
              <w:t xml:space="preserve">  </w:t>
            </w:r>
            <w:r>
              <w:rPr>
                <w:rFonts w:hint="eastAsia" w:ascii="仿宋" w:hAnsi="仿宋" w:eastAsia="仿宋" w:cs="仿宋"/>
                <w:color w:val="000000"/>
                <w:w w:val="80"/>
                <w:kern w:val="0"/>
                <w:sz w:val="21"/>
                <w:szCs w:val="21"/>
              </w:rPr>
              <w:t>分</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98</w:t>
            </w:r>
          </w:p>
        </w:tc>
        <w:tc>
          <w:tcPr>
            <w:tcW w:w="13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bl>
    <w:p>
      <w:pPr>
        <w:rPr>
          <w:rFonts w:ascii="Times New Roman" w:hAnsi="Times New Roman" w:eastAsia="仿宋_GB2312" w:cs="Times New Roman"/>
          <w:color w:val="auto"/>
          <w:kern w:val="0"/>
          <w:sz w:val="21"/>
          <w:szCs w:val="21"/>
        </w:rPr>
      </w:pPr>
    </w:p>
    <w:p>
      <w:pPr>
        <w:rPr>
          <w:rFonts w:hint="eastAsia" w:ascii="宋体" w:hAnsi="宋体" w:eastAsia="宋体" w:cs="宋体"/>
          <w:sz w:val="28"/>
          <w:szCs w:val="28"/>
          <w:lang w:eastAsia="zh-CN"/>
        </w:rPr>
      </w:pPr>
      <w:bookmarkStart w:id="0" w:name="_GoBack"/>
      <w:bookmarkEnd w:id="0"/>
      <w:r>
        <w:rPr>
          <w:rFonts w:ascii="Times New Roman" w:hAnsi="Times New Roman" w:eastAsia="仿宋_GB2312" w:cs="Times New Roman"/>
          <w:color w:val="auto"/>
          <w:kern w:val="0"/>
          <w:sz w:val="21"/>
          <w:szCs w:val="21"/>
        </w:rPr>
        <w:t>填表人</w:t>
      </w:r>
      <w:r>
        <w:rPr>
          <w:rFonts w:hint="eastAsia" w:ascii="Times New Roman" w:hAnsi="Times New Roman" w:eastAsia="仿宋_GB2312" w:cs="Times New Roman"/>
          <w:color w:val="auto"/>
          <w:kern w:val="0"/>
          <w:sz w:val="21"/>
          <w:szCs w:val="21"/>
          <w:lang w:eastAsia="zh-CN"/>
        </w:rPr>
        <w:t>：</w:t>
      </w:r>
      <w:r>
        <w:rPr>
          <w:rFonts w:ascii="Times New Roman" w:hAnsi="Times New Roman" w:eastAsia="仿宋_GB2312" w:cs="Times New Roman"/>
          <w:color w:val="auto"/>
          <w:kern w:val="0"/>
          <w:sz w:val="21"/>
          <w:szCs w:val="21"/>
        </w:rPr>
        <w:t xml:space="preserve"> </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填报日期：</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联系电话：</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单位负责人签字：</w:t>
      </w:r>
    </w:p>
    <w:p>
      <w:pPr>
        <w:rPr>
          <w:rFonts w:hint="default" w:ascii="宋体" w:hAnsi="宋体" w:cs="宋体"/>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Times New Roman" w:hAnsi="Times New Roman" w:eastAsia="Times New Roman" w:cs="Times New Roman"/>
        <w:sz w:val="20"/>
        <w:szCs w:val="20"/>
      </w:rPr>
    </w:pPr>
  </w:p>
  <w:p>
    <w:pPr>
      <w:spacing w:before="1" w:line="185"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UzMTVmMWQzNTY3YTMwMmVmZTJkNjAyNTgyYjIifQ=="/>
  </w:docVars>
  <w:rsids>
    <w:rsidRoot w:val="00000000"/>
    <w:rsid w:val="011D47D6"/>
    <w:rsid w:val="03E95687"/>
    <w:rsid w:val="06C850DB"/>
    <w:rsid w:val="07056BAD"/>
    <w:rsid w:val="0C807948"/>
    <w:rsid w:val="108600C8"/>
    <w:rsid w:val="12F17653"/>
    <w:rsid w:val="14860174"/>
    <w:rsid w:val="16893F4C"/>
    <w:rsid w:val="191258C6"/>
    <w:rsid w:val="1F0C0DB4"/>
    <w:rsid w:val="205B1C1A"/>
    <w:rsid w:val="21A8172A"/>
    <w:rsid w:val="30D37E45"/>
    <w:rsid w:val="31D12A08"/>
    <w:rsid w:val="339B6C54"/>
    <w:rsid w:val="34103088"/>
    <w:rsid w:val="34937802"/>
    <w:rsid w:val="34C5219B"/>
    <w:rsid w:val="35F169DB"/>
    <w:rsid w:val="387E1F97"/>
    <w:rsid w:val="39AC3FE0"/>
    <w:rsid w:val="39F552D0"/>
    <w:rsid w:val="3BD16AD1"/>
    <w:rsid w:val="3D1141CF"/>
    <w:rsid w:val="3D4A5933"/>
    <w:rsid w:val="42152080"/>
    <w:rsid w:val="422449A5"/>
    <w:rsid w:val="477A6E15"/>
    <w:rsid w:val="479812EE"/>
    <w:rsid w:val="4AD07D80"/>
    <w:rsid w:val="5F9F5D85"/>
    <w:rsid w:val="60A42306"/>
    <w:rsid w:val="6226020E"/>
    <w:rsid w:val="631259B9"/>
    <w:rsid w:val="6F2F34E9"/>
    <w:rsid w:val="753366D1"/>
    <w:rsid w:val="78EC46B6"/>
    <w:rsid w:val="793A6280"/>
    <w:rsid w:val="7B577614"/>
    <w:rsid w:val="7F03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3429</Words>
  <Characters>3704</Characters>
  <Lines>0</Lines>
  <Paragraphs>0</Paragraphs>
  <TotalTime>0</TotalTime>
  <ScaleCrop>false</ScaleCrop>
  <LinksUpToDate>false</LinksUpToDate>
  <CharactersWithSpaces>3795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2023-03-12T07:24:00Z</dcterms:created>
  <dc:creator>Administrator</dc:creator>
  <cp:lastModifiedBy>文达</cp:lastModifiedBy>
  <dcterms:modified xsi:type="dcterms:W3CDTF">2023-03-23T01:56:18Z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97785B98AE66452DB1A84791DCE148EF</vt:lpwstr>
  </property>
</Properties>
</file>