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2022年度省级示范教师培训机构创建经费</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spacing w:line="700" w:lineRule="exact"/>
        <w:jc w:val="center"/>
        <w:rPr>
          <w:rFonts w:ascii="黑体" w:hAnsi="黑体" w:eastAsia="黑体" w:cs="黑体"/>
          <w:sz w:val="36"/>
          <w:szCs w:val="36"/>
        </w:rPr>
      </w:pPr>
    </w:p>
    <w:p>
      <w:pPr>
        <w:keepNext w:val="0"/>
        <w:keepLines w:val="0"/>
        <w:pageBreakBefore w:val="0"/>
        <w:kinsoku/>
        <w:wordWrap/>
        <w:overflowPunct/>
        <w:autoSpaceDE/>
        <w:autoSpaceDN/>
        <w:bidi w:val="0"/>
        <w:adjustRightInd w:val="0"/>
        <w:snapToGrid w:val="0"/>
        <w:spacing w:line="580" w:lineRule="exact"/>
        <w:ind w:firstLine="640" w:firstLineChars="200"/>
        <w:rPr>
          <w:rFonts w:ascii="黑体" w:hAnsi="黑体" w:eastAsia="黑体"/>
          <w:szCs w:val="32"/>
        </w:rPr>
      </w:pPr>
      <w:r>
        <w:rPr>
          <w:rFonts w:ascii="黑体" w:hAnsi="黑体" w:eastAsia="黑体"/>
          <w:szCs w:val="32"/>
        </w:rPr>
        <w:t>一、项目概况</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市委、市政府《关于加快推进教育强市建设的意见》（益发[2017]5号）明确提出“支持益阳市中小学教师发展中心建成国家级示范性教师发展中心”和“支持益阳广播电视大学加快现代化开放大学建设进程”并将该项工作纳入市“十四五”教育发展规划。中小学教师发展中心主要开展“国培”“省培”“市培”和各项教师培训活动，并按照国家级示范性教师发展中心标准进一步改善教师培训设施设备，提高办学条件。</w:t>
      </w:r>
    </w:p>
    <w:p>
      <w:pPr>
        <w:keepNext w:val="0"/>
        <w:keepLines w:val="0"/>
        <w:pageBreakBefore w:val="0"/>
        <w:numPr>
          <w:ilvl w:val="0"/>
          <w:numId w:val="1"/>
        </w:numPr>
        <w:kinsoku/>
        <w:wordWrap/>
        <w:overflowPunct/>
        <w:autoSpaceDE/>
        <w:autoSpaceDN/>
        <w:bidi w:val="0"/>
        <w:adjustRightInd w:val="0"/>
        <w:snapToGrid w:val="0"/>
        <w:spacing w:line="580" w:lineRule="exact"/>
        <w:ind w:firstLine="640" w:firstLineChars="200"/>
        <w:rPr>
          <w:rFonts w:ascii="黑体" w:hAnsi="黑体" w:eastAsia="黑体"/>
          <w:szCs w:val="32"/>
        </w:rPr>
      </w:pPr>
      <w:r>
        <w:rPr>
          <w:rFonts w:hint="eastAsia" w:ascii="黑体" w:hAnsi="黑体" w:eastAsia="黑体"/>
          <w:szCs w:val="32"/>
        </w:rPr>
        <w:t>绩效自评工作开展情况</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1</w:t>
      </w:r>
      <w:r>
        <w:rPr>
          <w:rFonts w:hint="eastAsia" w:ascii="仿宋" w:hAnsi="仿宋" w:eastAsia="仿宋" w:cs="仿宋"/>
          <w:szCs w:val="32"/>
          <w:lang w:eastAsia="zh-CN"/>
        </w:rPr>
        <w:t>.</w:t>
      </w:r>
      <w:r>
        <w:rPr>
          <w:rFonts w:hint="eastAsia" w:ascii="仿宋" w:hAnsi="仿宋" w:eastAsia="仿宋" w:cs="仿宋"/>
          <w:szCs w:val="32"/>
        </w:rPr>
        <w:t>为全面实施预算绩效管理，建立科学、合理的预算支出绩效评价体系，提高财政资源配置效率和使用效益，根据《益阳市财政局关于开展2022年度部门绩效自评工作的通知》精神，</w:t>
      </w:r>
      <w:r>
        <w:rPr>
          <w:rFonts w:hint="eastAsia" w:ascii="仿宋" w:hAnsi="仿宋" w:eastAsia="仿宋" w:cs="仿宋"/>
          <w:color w:val="000000"/>
          <w:szCs w:val="32"/>
        </w:rPr>
        <w:t>我局领导高度重视，</w:t>
      </w:r>
      <w:r>
        <w:rPr>
          <w:rFonts w:hint="eastAsia" w:ascii="仿宋" w:hAnsi="仿宋" w:eastAsia="仿宋" w:cs="仿宋"/>
          <w:szCs w:val="32"/>
        </w:rPr>
        <w:t>成立绩效评价工作组。项目由学校中小学教师发展中心专门负责执行。项目支出使用严格按财务管理制度执行，保证资金使用效率最大化。同时，学校也成立了由校长任组长，分管副校长任副组长，业务科室与财务部门参与的项目绩效评价工作组，对专项经费进行绩效自评。</w:t>
      </w:r>
    </w:p>
    <w:p>
      <w:pPr>
        <w:keepNext w:val="0"/>
        <w:keepLines w:val="0"/>
        <w:pageBreakBefore w:val="0"/>
        <w:kinsoku/>
        <w:wordWrap/>
        <w:overflowPunct/>
        <w:topLinePunct/>
        <w:autoSpaceDE/>
        <w:autoSpaceDN/>
        <w:bidi w:val="0"/>
        <w:spacing w:line="580" w:lineRule="exact"/>
        <w:ind w:firstLine="640" w:firstLineChars="200"/>
        <w:rPr>
          <w:rFonts w:ascii="仿宋" w:hAnsi="仿宋" w:eastAsia="仿宋" w:cs="仿宋"/>
          <w:szCs w:val="32"/>
        </w:rPr>
      </w:pPr>
      <w:r>
        <w:rPr>
          <w:rFonts w:hint="eastAsia" w:ascii="仿宋" w:hAnsi="仿宋" w:eastAsia="仿宋" w:cs="仿宋"/>
          <w:szCs w:val="32"/>
        </w:rPr>
        <w:t>2</w:t>
      </w:r>
      <w:r>
        <w:rPr>
          <w:rFonts w:hint="eastAsia" w:ascii="仿宋" w:hAnsi="仿宋" w:eastAsia="仿宋" w:cs="仿宋"/>
          <w:szCs w:val="32"/>
          <w:lang w:eastAsia="zh-CN"/>
        </w:rPr>
        <w:t>.</w:t>
      </w:r>
      <w:r>
        <w:rPr>
          <w:rFonts w:hint="eastAsia" w:ascii="仿宋" w:hAnsi="仿宋" w:eastAsia="仿宋" w:cs="仿宋"/>
          <w:szCs w:val="32"/>
        </w:rPr>
        <w:t>召开座谈会，对专项经费使用情况进行审计。听取省级示范教师培训机构创建专项经费的执行业务科室有关资金使用管理、项目实施管理及项目投资与任务完成等情况介绍，了解资金使用取得的绩效、存在的主要问题及建议等，在财务部门的配合下对资金的使用情况进行了审计。</w:t>
      </w:r>
    </w:p>
    <w:p>
      <w:pPr>
        <w:keepNext w:val="0"/>
        <w:keepLines w:val="0"/>
        <w:pageBreakBefore w:val="0"/>
        <w:kinsoku/>
        <w:wordWrap/>
        <w:overflowPunct/>
        <w:topLinePunct/>
        <w:autoSpaceDE/>
        <w:autoSpaceDN/>
        <w:bidi w:val="0"/>
        <w:spacing w:line="580" w:lineRule="exact"/>
        <w:ind w:firstLine="629"/>
        <w:rPr>
          <w:rFonts w:ascii="仿宋" w:hAnsi="仿宋" w:eastAsia="仿宋" w:cs="仿宋"/>
          <w:szCs w:val="32"/>
        </w:rPr>
      </w:pPr>
      <w:r>
        <w:rPr>
          <w:rFonts w:hint="eastAsia" w:ascii="仿宋" w:hAnsi="仿宋" w:eastAsia="仿宋" w:cs="仿宋"/>
          <w:szCs w:val="32"/>
        </w:rPr>
        <w:t>3</w:t>
      </w:r>
      <w:r>
        <w:rPr>
          <w:rFonts w:hint="eastAsia" w:ascii="仿宋" w:hAnsi="仿宋" w:eastAsia="仿宋" w:cs="仿宋"/>
          <w:szCs w:val="32"/>
          <w:lang w:eastAsia="zh-CN"/>
        </w:rPr>
        <w:t>.</w:t>
      </w:r>
      <w:r>
        <w:rPr>
          <w:rFonts w:hint="eastAsia" w:ascii="仿宋" w:hAnsi="仿宋" w:eastAsia="仿宋" w:cs="仿宋"/>
          <w:szCs w:val="32"/>
        </w:rPr>
        <w:t>项目专项经费使用情况。</w:t>
      </w:r>
    </w:p>
    <w:p>
      <w:pPr>
        <w:keepNext w:val="0"/>
        <w:keepLines w:val="0"/>
        <w:pageBreakBefore w:val="0"/>
        <w:kinsoku/>
        <w:wordWrap/>
        <w:overflowPunct/>
        <w:topLinePunct/>
        <w:autoSpaceDE/>
        <w:autoSpaceDN/>
        <w:bidi w:val="0"/>
        <w:spacing w:line="580" w:lineRule="exact"/>
        <w:ind w:firstLine="629"/>
        <w:rPr>
          <w:rFonts w:ascii="仿宋" w:hAnsi="仿宋" w:eastAsia="仿宋" w:cs="仿宋"/>
          <w:szCs w:val="32"/>
        </w:rPr>
      </w:pPr>
      <w:r>
        <w:rPr>
          <w:rFonts w:hint="eastAsia" w:ascii="仿宋" w:hAnsi="仿宋" w:eastAsia="仿宋" w:cs="仿宋"/>
          <w:szCs w:val="32"/>
          <w:lang w:eastAsia="zh-CN"/>
        </w:rPr>
        <w:t>益阳</w:t>
      </w:r>
      <w:r>
        <w:rPr>
          <w:rFonts w:hint="eastAsia" w:ascii="仿宋" w:hAnsi="仿宋" w:eastAsia="仿宋" w:cs="仿宋"/>
          <w:szCs w:val="32"/>
        </w:rPr>
        <w:t>开放大学近几年为提升办学条件，加快现代化开放大学建设进程，早日建成国家级示范性教师发展中心，利用省级示范教师培训机构创建专项经费不断在加大基本建设投入，先后投入1600万元进行了教学培训楼、住宿楼和校园主干道路及活动健身场所的提质改造。该专项经费的29.68万元主要用于学校12栋多媒体教室改造，剩余经费将用于2023年工程余款的支付。</w:t>
      </w:r>
    </w:p>
    <w:p>
      <w:pPr>
        <w:keepNext w:val="0"/>
        <w:keepLines w:val="0"/>
        <w:pageBreakBefore w:val="0"/>
        <w:kinsoku/>
        <w:wordWrap/>
        <w:overflowPunct/>
        <w:autoSpaceDE/>
        <w:autoSpaceDN/>
        <w:bidi w:val="0"/>
        <w:adjustRightInd w:val="0"/>
        <w:snapToGrid w:val="0"/>
        <w:spacing w:line="580" w:lineRule="exact"/>
        <w:ind w:firstLine="640" w:firstLineChars="20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综合评价结论</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 w:hAnsi="仿宋" w:eastAsia="仿宋" w:cs="仿宋"/>
        </w:rPr>
      </w:pPr>
      <w:r>
        <w:rPr>
          <w:rFonts w:hint="eastAsia" w:ascii="仿宋" w:hAnsi="仿宋" w:eastAsia="仿宋" w:cs="仿宋"/>
          <w:szCs w:val="32"/>
        </w:rPr>
        <w:t>根据该项目资金绩效评价指标体系和绩效检查情况，该项目整体绩效分值100分，实得95分。等级为：优秀。</w:t>
      </w:r>
    </w:p>
    <w:p>
      <w:pPr>
        <w:keepNext w:val="0"/>
        <w:keepLines w:val="0"/>
        <w:pageBreakBefore w:val="0"/>
        <w:kinsoku/>
        <w:wordWrap/>
        <w:overflowPunct/>
        <w:autoSpaceDE/>
        <w:autoSpaceDN/>
        <w:bidi w:val="0"/>
        <w:adjustRightInd w:val="0"/>
        <w:snapToGrid w:val="0"/>
        <w:spacing w:line="580" w:lineRule="exact"/>
        <w:ind w:firstLine="640" w:firstLineChars="200"/>
        <w:rPr>
          <w:rFonts w:ascii="黑体" w:hAnsi="黑体" w:eastAsia="黑体"/>
          <w:szCs w:val="32"/>
        </w:rPr>
      </w:pPr>
      <w:r>
        <w:rPr>
          <w:rFonts w:hint="eastAsia" w:ascii="黑体" w:hAnsi="黑体" w:eastAsia="黑体"/>
          <w:szCs w:val="32"/>
        </w:rPr>
        <w:t>四、绩效目标实现情况分析</w:t>
      </w:r>
    </w:p>
    <w:p>
      <w:pPr>
        <w:keepNext w:val="0"/>
        <w:keepLines w:val="0"/>
        <w:pageBreakBefore w:val="0"/>
        <w:widowControl/>
        <w:kinsoku/>
        <w:wordWrap/>
        <w:overflowPunct/>
        <w:autoSpaceDE/>
        <w:autoSpaceDN/>
        <w:bidi w:val="0"/>
        <w:spacing w:line="580" w:lineRule="exact"/>
        <w:ind w:firstLine="643" w:firstLineChars="200"/>
        <w:rPr>
          <w:rFonts w:hint="eastAsia" w:ascii="楷体_GB2312" w:hAnsi="仿宋" w:eastAsia="楷体_GB2312"/>
          <w:b/>
          <w:bCs/>
          <w:szCs w:val="32"/>
        </w:rPr>
      </w:pPr>
      <w:r>
        <w:rPr>
          <w:rFonts w:hint="eastAsia" w:ascii="楷体_GB2312" w:hAnsi="仿宋" w:eastAsia="楷体_GB2312"/>
          <w:b/>
          <w:bCs/>
          <w:szCs w:val="32"/>
        </w:rPr>
        <w:t>（一）项目资金使用及管理情况</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1</w:t>
      </w:r>
      <w:r>
        <w:rPr>
          <w:rFonts w:hint="eastAsia" w:ascii="仿宋" w:hAnsi="仿宋" w:eastAsia="仿宋" w:cs="仿宋"/>
          <w:szCs w:val="32"/>
          <w:lang w:val="en-US" w:eastAsia="zh-CN"/>
        </w:rPr>
        <w:t>.</w:t>
      </w:r>
      <w:r>
        <w:rPr>
          <w:rFonts w:hint="eastAsia" w:ascii="仿宋" w:hAnsi="仿宋" w:eastAsia="仿宋" w:cs="仿宋"/>
          <w:szCs w:val="32"/>
        </w:rPr>
        <w:t>项目资金2022年预算金额为50万元，2022年项目资金总投入31.81万元，余额18.19万元。</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2</w:t>
      </w:r>
      <w:r>
        <w:rPr>
          <w:rFonts w:hint="eastAsia" w:ascii="仿宋" w:hAnsi="仿宋" w:eastAsia="仿宋" w:cs="仿宋"/>
          <w:szCs w:val="32"/>
          <w:lang w:val="en-US" w:eastAsia="zh-CN"/>
        </w:rPr>
        <w:t>.</w:t>
      </w:r>
      <w:r>
        <w:rPr>
          <w:rFonts w:hint="eastAsia" w:ascii="仿宋" w:hAnsi="仿宋" w:eastAsia="仿宋" w:cs="仿宋"/>
          <w:szCs w:val="32"/>
        </w:rPr>
        <w:t>项目资金实际使用情况。</w:t>
      </w:r>
      <w:r>
        <w:rPr>
          <w:rFonts w:hint="eastAsia" w:ascii="仿宋" w:hAnsi="仿宋" w:eastAsia="仿宋" w:cs="仿宋"/>
          <w:szCs w:val="32"/>
          <w:lang w:eastAsia="zh-CN"/>
        </w:rPr>
        <w:t>益阳</w:t>
      </w:r>
      <w:r>
        <w:rPr>
          <w:rFonts w:hint="eastAsia" w:ascii="仿宋" w:hAnsi="仿宋" w:eastAsia="仿宋" w:cs="仿宋"/>
          <w:szCs w:val="32"/>
        </w:rPr>
        <w:t>开放大学当年实际用于示范教师培训机构创建中学校办学条件改善，多媒体教室改造29.68万元，市级骨干教师培训2.13万元。余额18.19万元用于2023年支付改造尾款。</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_GB2312" w:hAnsi="仿宋"/>
          <w:szCs w:val="32"/>
        </w:rPr>
      </w:pPr>
      <w:r>
        <w:rPr>
          <w:rFonts w:hint="eastAsia" w:ascii="仿宋" w:hAnsi="仿宋" w:eastAsia="仿宋" w:cs="仿宋"/>
          <w:szCs w:val="32"/>
        </w:rPr>
        <w:t>3</w:t>
      </w:r>
      <w:r>
        <w:rPr>
          <w:rFonts w:hint="eastAsia" w:ascii="仿宋" w:hAnsi="仿宋" w:eastAsia="仿宋" w:cs="仿宋"/>
          <w:szCs w:val="32"/>
          <w:lang w:val="en-US" w:eastAsia="zh-CN"/>
        </w:rPr>
        <w:t>.</w:t>
      </w:r>
      <w:r>
        <w:rPr>
          <w:rFonts w:hint="eastAsia" w:ascii="仿宋" w:hAnsi="仿宋" w:eastAsia="仿宋" w:cs="仿宋"/>
          <w:szCs w:val="32"/>
        </w:rPr>
        <w:t>项目资金管理情况。</w:t>
      </w:r>
      <w:r>
        <w:rPr>
          <w:rFonts w:hint="eastAsia" w:ascii="仿宋" w:hAnsi="仿宋" w:eastAsia="仿宋" w:cs="仿宋"/>
          <w:szCs w:val="32"/>
          <w:lang w:eastAsia="zh-CN"/>
        </w:rPr>
        <w:t>益阳</w:t>
      </w:r>
      <w:r>
        <w:rPr>
          <w:rFonts w:hint="eastAsia" w:ascii="仿宋" w:hAnsi="仿宋" w:eastAsia="仿宋" w:cs="仿宋"/>
          <w:szCs w:val="32"/>
        </w:rPr>
        <w:t>开放大学对专项资金采用专款专用的财务管理制度，使用前有预算方案，预算过程有领导把关、部门专项负责、财务监督，使用后有会审联签组的审核，力争做到资金使用效率最大化。项目资金的拨付程序、费用开支范围及标准合规，相关手续较完善。</w:t>
      </w:r>
    </w:p>
    <w:p>
      <w:pPr>
        <w:keepNext w:val="0"/>
        <w:keepLines w:val="0"/>
        <w:pageBreakBefore w:val="0"/>
        <w:widowControl/>
        <w:kinsoku/>
        <w:wordWrap/>
        <w:overflowPunct/>
        <w:autoSpaceDE/>
        <w:autoSpaceDN/>
        <w:bidi w:val="0"/>
        <w:spacing w:line="580" w:lineRule="exact"/>
        <w:ind w:firstLine="643" w:firstLineChars="200"/>
        <w:rPr>
          <w:rFonts w:ascii="楷体_GB2312" w:hAnsi="仿宋" w:eastAsia="楷体_GB2312"/>
          <w:b/>
          <w:bCs/>
          <w:szCs w:val="32"/>
        </w:rPr>
      </w:pPr>
      <w:r>
        <w:rPr>
          <w:rFonts w:hint="eastAsia" w:ascii="楷体_GB2312" w:hAnsi="仿宋" w:eastAsia="楷体_GB2312"/>
          <w:b/>
          <w:bCs/>
          <w:szCs w:val="32"/>
        </w:rPr>
        <w:t>（二）总体绩效目标完成情况分析</w:t>
      </w:r>
    </w:p>
    <w:p>
      <w:pPr>
        <w:pStyle w:val="7"/>
        <w:keepNext w:val="0"/>
        <w:keepLines w:val="0"/>
        <w:pageBreakBefore w:val="0"/>
        <w:kinsoku/>
        <w:wordWrap/>
        <w:overflowPunct/>
        <w:autoSpaceDE/>
        <w:autoSpaceDN/>
        <w:bidi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在做好疫情防控的情况下，采用“集中培训、线上直播、送培到校”等多渠道、多形式的培训方式，共申报、立项并承办各级各类培训20多个，线上线下培训总人数7500多人次（80%以上都是乡村教师）。在13所中小学校（幼儿园）建立益阳市中小学教师发展中心研训基地校（园），产生了良好的社会影响。</w:t>
      </w:r>
    </w:p>
    <w:p>
      <w:pPr>
        <w:keepNext w:val="0"/>
        <w:keepLines w:val="0"/>
        <w:pageBreakBefore w:val="0"/>
        <w:widowControl/>
        <w:kinsoku/>
        <w:wordWrap/>
        <w:overflowPunct/>
        <w:autoSpaceDE/>
        <w:autoSpaceDN/>
        <w:bidi w:val="0"/>
        <w:spacing w:line="580" w:lineRule="exact"/>
        <w:ind w:firstLine="643" w:firstLineChars="200"/>
        <w:rPr>
          <w:rFonts w:hint="eastAsia" w:ascii="楷体_GB2312" w:hAnsi="仿宋" w:eastAsia="楷体_GB2312"/>
          <w:b/>
          <w:bCs/>
          <w:szCs w:val="32"/>
        </w:rPr>
      </w:pPr>
      <w:r>
        <w:rPr>
          <w:rFonts w:hint="eastAsia" w:ascii="楷体_GB2312" w:hAnsi="仿宋" w:eastAsia="楷体_GB2312"/>
          <w:b/>
          <w:bCs/>
          <w:szCs w:val="32"/>
        </w:rPr>
        <w:t>（三）绩效指标完成情况分析</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学校对专项资金的使用规范，按财务预算管理制度执行，资金使用率高，为全面深入贯彻党的教育方针，落实立德树人根本任务，发挥市级优秀教育资源的辐射作用，促进区域教师队伍建设，助力区域教育教学质量提升做出了较大的贡献。</w:t>
      </w:r>
    </w:p>
    <w:p>
      <w:pPr>
        <w:keepNext w:val="0"/>
        <w:keepLines w:val="0"/>
        <w:pageBreakBefore w:val="0"/>
        <w:kinsoku/>
        <w:wordWrap/>
        <w:overflowPunct/>
        <w:autoSpaceDE/>
        <w:autoSpaceDN/>
        <w:bidi w:val="0"/>
        <w:adjustRightInd w:val="0"/>
        <w:snapToGrid w:val="0"/>
        <w:spacing w:line="580" w:lineRule="exact"/>
        <w:ind w:firstLine="640" w:firstLineChars="200"/>
        <w:rPr>
          <w:rFonts w:ascii="黑体" w:hAnsi="黑体" w:eastAsia="黑体"/>
          <w:szCs w:val="32"/>
        </w:rPr>
      </w:pPr>
      <w:r>
        <w:rPr>
          <w:rFonts w:hint="eastAsia" w:ascii="黑体" w:hAnsi="黑体" w:eastAsia="黑体"/>
          <w:szCs w:val="32"/>
        </w:rPr>
        <w:t>五、存在的问题和改进措施</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1</w:t>
      </w:r>
      <w:r>
        <w:rPr>
          <w:rFonts w:hint="eastAsia" w:ascii="仿宋" w:hAnsi="仿宋" w:eastAsia="仿宋" w:cs="仿宋"/>
          <w:szCs w:val="32"/>
          <w:lang w:eastAsia="zh-CN"/>
        </w:rPr>
        <w:t>.</w:t>
      </w:r>
      <w:r>
        <w:rPr>
          <w:rFonts w:hint="eastAsia" w:ascii="仿宋" w:hAnsi="仿宋" w:eastAsia="仿宋" w:cs="仿宋"/>
          <w:szCs w:val="32"/>
        </w:rPr>
        <w:t>学校办学硬件设施与国家级示范性教师发展中心有较大差距，也不能满足目前进行的各项培训工作。学校除了进行教师培训工作，还承担了全市农民大学生培养工作、基层人才培养工作、干部网络学习培训工作、基层党员培训工作，培训任务重，场地和设施使用紧张，因此仍需改建一处新的报告厅和培训住宿楼。</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 w:hAnsi="仿宋" w:eastAsia="仿宋" w:cs="仿宋"/>
          <w:szCs w:val="32"/>
        </w:rPr>
      </w:pPr>
      <w:r>
        <w:rPr>
          <w:rFonts w:hint="eastAsia" w:ascii="仿宋" w:hAnsi="仿宋" w:eastAsia="仿宋" w:cs="仿宋"/>
          <w:szCs w:val="32"/>
        </w:rPr>
        <w:t>2</w:t>
      </w:r>
      <w:r>
        <w:rPr>
          <w:rFonts w:hint="eastAsia" w:ascii="仿宋" w:hAnsi="仿宋" w:eastAsia="仿宋" w:cs="仿宋"/>
          <w:szCs w:val="32"/>
          <w:lang w:eastAsia="zh-CN"/>
        </w:rPr>
        <w:t>.</w:t>
      </w:r>
      <w:r>
        <w:rPr>
          <w:rFonts w:hint="eastAsia" w:ascii="仿宋" w:hAnsi="仿宋" w:eastAsia="仿宋" w:cs="仿宋"/>
          <w:szCs w:val="32"/>
        </w:rPr>
        <w:t>财政投入存在不足。为创建国家示范性教师发展中心和服务全市教育事业发展，学校不断加强基本建设，近几年先后对培训楼、住宿楼、校园主干道、报告厅、活动健身场所进行了全面提质改造。为按照国家级示范性教师发展中心标准进一步改善教师培训设施，加上从2022年起全面取消市级教师培训项目收费，我校教师发展中心亟需发展过程中的经费支持，还有待逐年递增该项目的财政预算。</w:t>
      </w:r>
    </w:p>
    <w:p>
      <w:pPr>
        <w:keepNext w:val="0"/>
        <w:keepLines w:val="0"/>
        <w:pageBreakBefore w:val="0"/>
        <w:kinsoku/>
        <w:wordWrap/>
        <w:overflowPunct/>
        <w:autoSpaceDE/>
        <w:autoSpaceDN/>
        <w:bidi w:val="0"/>
        <w:spacing w:line="580" w:lineRule="exact"/>
        <w:ind w:firstLine="640" w:firstLineChars="200"/>
        <w:rPr>
          <w:rFonts w:ascii="黑体" w:hAnsi="黑体" w:eastAsia="黑体" w:cs="黑体"/>
          <w:b w:val="0"/>
          <w:bCs w:val="0"/>
          <w:color w:val="000000"/>
          <w:szCs w:val="32"/>
        </w:rPr>
      </w:pPr>
      <w:r>
        <w:rPr>
          <w:rFonts w:hint="eastAsia" w:ascii="黑体" w:hAnsi="黑体" w:eastAsia="黑体" w:cs="黑体"/>
          <w:b w:val="0"/>
          <w:bCs w:val="0"/>
          <w:color w:val="000000"/>
          <w:szCs w:val="32"/>
        </w:rPr>
        <w:t>六、绩效自评结果拟应用和公开情况</w:t>
      </w:r>
    </w:p>
    <w:p>
      <w:pPr>
        <w:keepNext w:val="0"/>
        <w:keepLines w:val="0"/>
        <w:pageBreakBefore w:val="0"/>
        <w:widowControl/>
        <w:kinsoku/>
        <w:wordWrap/>
        <w:overflowPunct/>
        <w:autoSpaceDE/>
        <w:autoSpaceDN/>
        <w:bidi w:val="0"/>
        <w:spacing w:line="580" w:lineRule="exact"/>
        <w:ind w:firstLine="640" w:firstLineChars="200"/>
        <w:jc w:val="left"/>
        <w:rPr>
          <w:rFonts w:hint="eastAsia" w:ascii="仿宋" w:hAnsi="仿宋" w:eastAsia="仿宋" w:cs="仿宋"/>
          <w:szCs w:val="32"/>
          <w:lang w:eastAsia="zh-CN"/>
        </w:rPr>
      </w:pPr>
      <w:r>
        <w:rPr>
          <w:rFonts w:hint="eastAsia" w:ascii="仿宋" w:hAnsi="仿宋" w:eastAsia="仿宋" w:cs="仿宋"/>
          <w:szCs w:val="32"/>
        </w:rPr>
        <w:t>1.针对绩效自评中发现的问题制定切实可行的整改措施并落实到位</w:t>
      </w:r>
      <w:r>
        <w:rPr>
          <w:rFonts w:hint="eastAsia" w:ascii="仿宋" w:hAnsi="仿宋" w:eastAsia="仿宋" w:cs="仿宋"/>
          <w:szCs w:val="32"/>
          <w:lang w:eastAsia="zh-CN"/>
        </w:rPr>
        <w:t>。</w:t>
      </w:r>
    </w:p>
    <w:p>
      <w:pPr>
        <w:keepNext w:val="0"/>
        <w:keepLines w:val="0"/>
        <w:pageBreakBefore w:val="0"/>
        <w:kinsoku/>
        <w:wordWrap/>
        <w:overflowPunct/>
        <w:topLinePunct/>
        <w:autoSpaceDE/>
        <w:autoSpaceDN/>
        <w:bidi w:val="0"/>
        <w:spacing w:line="580" w:lineRule="exact"/>
        <w:ind w:firstLine="629"/>
        <w:rPr>
          <w:rFonts w:ascii="仿宋" w:hAnsi="仿宋" w:eastAsia="仿宋" w:cs="仿宋"/>
          <w:szCs w:val="32"/>
        </w:rPr>
      </w:pPr>
      <w:r>
        <w:rPr>
          <w:rFonts w:hint="eastAsia" w:ascii="仿宋" w:hAnsi="仿宋" w:eastAsia="仿宋" w:cs="仿宋"/>
          <w:szCs w:val="32"/>
        </w:rPr>
        <w:t>2.市直教育单位自评结果将应用到下一年度的资金安排和项目立项。</w:t>
      </w:r>
    </w:p>
    <w:p>
      <w:pPr>
        <w:keepNext w:val="0"/>
        <w:keepLines w:val="0"/>
        <w:pageBreakBefore w:val="0"/>
        <w:kinsoku/>
        <w:wordWrap/>
        <w:overflowPunct/>
        <w:topLinePunct/>
        <w:autoSpaceDE/>
        <w:autoSpaceDN/>
        <w:bidi w:val="0"/>
        <w:spacing w:line="580" w:lineRule="exact"/>
        <w:ind w:firstLine="629"/>
        <w:rPr>
          <w:rFonts w:ascii="仿宋" w:hAnsi="仿宋" w:eastAsia="仿宋" w:cs="仿宋"/>
          <w:szCs w:val="32"/>
        </w:rPr>
      </w:pPr>
      <w:r>
        <w:rPr>
          <w:rFonts w:hint="eastAsia" w:ascii="仿宋" w:hAnsi="仿宋" w:eastAsia="仿宋" w:cs="仿宋"/>
          <w:szCs w:val="32"/>
        </w:rPr>
        <w:t>3.绩效自评报告在益阳</w:t>
      </w:r>
      <w:r>
        <w:rPr>
          <w:rFonts w:hint="eastAsia" w:ascii="仿宋" w:hAnsi="仿宋" w:eastAsia="仿宋" w:cs="仿宋"/>
          <w:szCs w:val="32"/>
          <w:lang w:eastAsia="zh-CN"/>
        </w:rPr>
        <w:t>市</w:t>
      </w:r>
      <w:r>
        <w:rPr>
          <w:rFonts w:hint="eastAsia" w:ascii="仿宋" w:hAnsi="仿宋" w:eastAsia="仿宋" w:cs="仿宋"/>
          <w:szCs w:val="32"/>
        </w:rPr>
        <w:t>教育</w:t>
      </w:r>
      <w:r>
        <w:rPr>
          <w:rFonts w:hint="eastAsia" w:ascii="仿宋" w:hAnsi="仿宋" w:eastAsia="仿宋" w:cs="仿宋"/>
          <w:szCs w:val="32"/>
          <w:lang w:eastAsia="zh-CN"/>
        </w:rPr>
        <w:t>局官</w:t>
      </w:r>
      <w:r>
        <w:rPr>
          <w:rFonts w:hint="eastAsia" w:ascii="仿宋" w:hAnsi="仿宋" w:eastAsia="仿宋" w:cs="仿宋"/>
          <w:szCs w:val="32"/>
        </w:rPr>
        <w:t>网公开，接受广大群众监督。</w:t>
      </w:r>
    </w:p>
    <w:p>
      <w:pPr>
        <w:keepNext w:val="0"/>
        <w:keepLines w:val="0"/>
        <w:pageBreakBefore w:val="0"/>
        <w:kinsoku/>
        <w:wordWrap/>
        <w:overflowPunct/>
        <w:autoSpaceDE/>
        <w:autoSpaceDN/>
        <w:bidi w:val="0"/>
        <w:spacing w:line="580" w:lineRule="exact"/>
        <w:ind w:firstLine="640" w:firstLineChars="200"/>
        <w:rPr>
          <w:rFonts w:hint="eastAsia" w:ascii="黑体" w:hAnsi="黑体" w:eastAsia="黑体" w:cs="黑体"/>
          <w:b w:val="0"/>
          <w:bCs w:val="0"/>
          <w:color w:val="000000"/>
          <w:szCs w:val="32"/>
        </w:rPr>
      </w:pPr>
      <w:r>
        <w:rPr>
          <w:rFonts w:hint="eastAsia" w:ascii="黑体" w:hAnsi="黑体" w:eastAsia="黑体" w:cs="黑体"/>
          <w:b w:val="0"/>
          <w:bCs w:val="0"/>
          <w:color w:val="000000"/>
          <w:szCs w:val="32"/>
        </w:rPr>
        <w:t>七、其他需要说明的问题</w:t>
      </w:r>
    </w:p>
    <w:p>
      <w:pPr>
        <w:keepNext w:val="0"/>
        <w:keepLines w:val="0"/>
        <w:pageBreakBefore w:val="0"/>
        <w:kinsoku/>
        <w:wordWrap/>
        <w:overflowPunct/>
        <w:autoSpaceDE/>
        <w:autoSpaceDN/>
        <w:bidi w:val="0"/>
        <w:adjustRightInd w:val="0"/>
        <w:snapToGrid w:val="0"/>
        <w:spacing w:line="580" w:lineRule="exact"/>
        <w:ind w:firstLine="640" w:firstLineChars="200"/>
        <w:rPr>
          <w:rFonts w:ascii="仿宋_GB2312" w:hAnsi="仿宋"/>
          <w:szCs w:val="32"/>
        </w:rPr>
      </w:pPr>
      <w:r>
        <w:rPr>
          <w:rFonts w:hint="eastAsia" w:ascii="仿宋_GB2312" w:hAnsi="仿宋"/>
          <w:szCs w:val="32"/>
        </w:rPr>
        <w:t>无</w:t>
      </w:r>
      <w:r>
        <w:rPr>
          <w:rFonts w:hint="eastAsia" w:ascii="仿宋_GB2312" w:hAnsi="仿宋"/>
          <w:szCs w:val="32"/>
          <w:lang w:eastAsia="zh-CN"/>
        </w:rPr>
        <w:t>。</w:t>
      </w:r>
    </w:p>
    <w:p>
      <w:pPr>
        <w:keepNext w:val="0"/>
        <w:keepLines w:val="0"/>
        <w:pageBreakBefore w:val="0"/>
        <w:kinsoku/>
        <w:wordWrap/>
        <w:overflowPunct/>
        <w:topLinePunct/>
        <w:autoSpaceDE/>
        <w:autoSpaceDN/>
        <w:bidi w:val="0"/>
        <w:spacing w:line="580" w:lineRule="exact"/>
        <w:ind w:left="0" w:firstLine="629"/>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2022年度</w:t>
      </w:r>
      <w:r>
        <w:rPr>
          <w:rFonts w:hint="eastAsia" w:ascii="仿宋" w:hAnsi="仿宋" w:eastAsia="仿宋" w:cs="仿宋"/>
          <w:sz w:val="32"/>
          <w:szCs w:val="32"/>
        </w:rPr>
        <w:t>项目支出绩效自评表</w:t>
      </w:r>
    </w:p>
    <w:p>
      <w:pPr>
        <w:keepNext w:val="0"/>
        <w:keepLines w:val="0"/>
        <w:pageBreakBefore w:val="0"/>
        <w:kinsoku/>
        <w:wordWrap/>
        <w:overflowPunct/>
        <w:autoSpaceDE/>
        <w:autoSpaceDN/>
        <w:bidi w:val="0"/>
        <w:adjustRightInd w:val="0"/>
        <w:snapToGrid w:val="0"/>
        <w:spacing w:line="580" w:lineRule="exact"/>
        <w:ind w:left="0" w:leftChars="0" w:firstLine="5920" w:firstLineChars="1850"/>
        <w:rPr>
          <w:rFonts w:hint="eastAsia" w:ascii="仿宋_GB2312" w:hAnsi="仿宋"/>
          <w:szCs w:val="32"/>
        </w:rPr>
      </w:pPr>
    </w:p>
    <w:p>
      <w:pPr>
        <w:keepNext w:val="0"/>
        <w:keepLines w:val="0"/>
        <w:pageBreakBefore w:val="0"/>
        <w:kinsoku/>
        <w:wordWrap/>
        <w:overflowPunct/>
        <w:autoSpaceDE/>
        <w:autoSpaceDN/>
        <w:bidi w:val="0"/>
        <w:adjustRightInd w:val="0"/>
        <w:snapToGrid w:val="0"/>
        <w:spacing w:line="580" w:lineRule="exact"/>
        <w:ind w:left="0" w:leftChars="0" w:firstLine="5920" w:firstLineChars="1850"/>
        <w:rPr>
          <w:rFonts w:ascii="仿宋_GB2312" w:hAnsi="仿宋"/>
          <w:szCs w:val="32"/>
        </w:rPr>
      </w:pPr>
      <w:r>
        <w:rPr>
          <w:rFonts w:hint="eastAsia" w:ascii="仿宋_GB2312" w:hAnsi="仿宋"/>
          <w:szCs w:val="32"/>
        </w:rPr>
        <w:t>益阳市教育局</w:t>
      </w:r>
    </w:p>
    <w:p>
      <w:pPr>
        <w:keepNext w:val="0"/>
        <w:keepLines w:val="0"/>
        <w:pageBreakBefore w:val="0"/>
        <w:kinsoku/>
        <w:wordWrap/>
        <w:overflowPunct/>
        <w:autoSpaceDE/>
        <w:autoSpaceDN/>
        <w:bidi w:val="0"/>
        <w:adjustRightInd w:val="0"/>
        <w:snapToGrid w:val="0"/>
        <w:spacing w:line="580" w:lineRule="exact"/>
        <w:ind w:firstLine="5760" w:firstLineChars="1800"/>
        <w:rPr>
          <w:rFonts w:ascii="仿宋_GB2312" w:hAnsi="仿宋"/>
          <w:szCs w:val="32"/>
        </w:rPr>
      </w:pPr>
      <w:r>
        <w:rPr>
          <w:rFonts w:hint="eastAsia" w:ascii="仿宋_GB2312" w:hAnsi="仿宋"/>
          <w:szCs w:val="32"/>
        </w:rPr>
        <w:t>2023年3月18日</w:t>
      </w:r>
    </w:p>
    <w:p>
      <w:pPr>
        <w:adjustRightInd w:val="0"/>
        <w:snapToGrid w:val="0"/>
        <w:spacing w:line="600" w:lineRule="exact"/>
        <w:ind w:firstLine="640" w:firstLineChars="200"/>
        <w:rPr>
          <w:rFonts w:ascii="仿宋_GB2312" w:hAnsi="仿宋"/>
          <w:szCs w:val="32"/>
        </w:rPr>
      </w:pPr>
    </w:p>
    <w:p>
      <w:pPr>
        <w:adjustRightInd w:val="0"/>
        <w:snapToGrid w:val="0"/>
        <w:spacing w:line="600" w:lineRule="exact"/>
        <w:ind w:firstLine="640" w:firstLineChars="200"/>
        <w:rPr>
          <w:rFonts w:ascii="仿宋_GB2312" w:hAnsi="仿宋"/>
          <w:szCs w:val="32"/>
        </w:rPr>
      </w:pPr>
    </w:p>
    <w:p>
      <w:pPr>
        <w:adjustRightInd w:val="0"/>
        <w:snapToGrid w:val="0"/>
        <w:spacing w:line="600" w:lineRule="exact"/>
        <w:ind w:firstLine="640" w:firstLineChars="200"/>
        <w:rPr>
          <w:rFonts w:ascii="仿宋_GB2312" w:hAnsi="仿宋"/>
          <w:szCs w:val="32"/>
        </w:rPr>
      </w:pPr>
    </w:p>
    <w:p>
      <w:pPr>
        <w:pStyle w:val="2"/>
        <w:rPr>
          <w:rFonts w:ascii="仿宋_GB2312" w:hAnsi="仿宋"/>
          <w:szCs w:val="32"/>
        </w:rPr>
      </w:pPr>
    </w:p>
    <w:p>
      <w:pPr>
        <w:adjustRightInd w:val="0"/>
        <w:snapToGrid w:val="0"/>
        <w:spacing w:line="600" w:lineRule="exact"/>
        <w:ind w:firstLine="640" w:firstLineChars="200"/>
        <w:rPr>
          <w:rFonts w:ascii="仿宋_GB2312" w:hAnsi="仿宋"/>
          <w:szCs w:val="32"/>
        </w:rPr>
      </w:pPr>
    </w:p>
    <w:p>
      <w:pPr>
        <w:adjustRightInd w:val="0"/>
        <w:snapToGrid w:val="0"/>
        <w:spacing w:line="600" w:lineRule="exact"/>
        <w:ind w:firstLine="640" w:firstLineChars="200"/>
        <w:rPr>
          <w:rFonts w:ascii="仿宋_GB2312" w:hAnsi="仿宋"/>
          <w:szCs w:val="32"/>
        </w:rPr>
      </w:pPr>
    </w:p>
    <w:p>
      <w:pPr>
        <w:widowControl/>
        <w:spacing w:line="400" w:lineRule="exact"/>
        <w:jc w:val="both"/>
        <w:rPr>
          <w:rFonts w:ascii="Times New Roman" w:hAnsi="Times New Roman" w:eastAsia="方正小标宋_GBK"/>
          <w:color w:val="000000"/>
          <w:kern w:val="0"/>
          <w:sz w:val="15"/>
          <w:szCs w:val="15"/>
        </w:rPr>
      </w:pPr>
      <w:bookmarkStart w:id="0" w:name="_GoBack"/>
      <w:bookmarkEnd w:id="0"/>
    </w:p>
    <w:p>
      <w:pPr>
        <w:widowControl/>
        <w:spacing w:line="240" w:lineRule="auto"/>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2022年度项目支出绩效自评表</w:t>
      </w:r>
    </w:p>
    <w:tbl>
      <w:tblPr>
        <w:tblStyle w:val="5"/>
        <w:tblW w:w="9160" w:type="dxa"/>
        <w:jc w:val="center"/>
        <w:tblLayout w:type="fixed"/>
        <w:tblCellMar>
          <w:top w:w="0" w:type="dxa"/>
          <w:left w:w="108" w:type="dxa"/>
          <w:bottom w:w="0" w:type="dxa"/>
          <w:right w:w="108" w:type="dxa"/>
        </w:tblCellMar>
      </w:tblPr>
      <w:tblGrid>
        <w:gridCol w:w="1005"/>
        <w:gridCol w:w="1005"/>
        <w:gridCol w:w="1003"/>
        <w:gridCol w:w="1547"/>
        <w:gridCol w:w="967"/>
        <w:gridCol w:w="847"/>
        <w:gridCol w:w="657"/>
        <w:gridCol w:w="811"/>
        <w:gridCol w:w="2"/>
        <w:gridCol w:w="1316"/>
      </w:tblGrid>
      <w:tr>
        <w:tblPrEx>
          <w:tblCellMar>
            <w:top w:w="0" w:type="dxa"/>
            <w:left w:w="108" w:type="dxa"/>
            <w:bottom w:w="0" w:type="dxa"/>
            <w:right w:w="108" w:type="dxa"/>
          </w:tblCellMar>
        </w:tblPrEx>
        <w:trPr>
          <w:trHeight w:val="509" w:hRule="atLeast"/>
          <w:jc w:val="center"/>
        </w:trPr>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项目名称</w:t>
            </w:r>
          </w:p>
        </w:tc>
        <w:tc>
          <w:tcPr>
            <w:tcW w:w="8155"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教育强市重点项目（示范教师培训机构创建经费）</w:t>
            </w:r>
            <w:r>
              <w:rPr>
                <w:rFonts w:ascii="Times New Roman" w:hAnsi="Times New Roman"/>
                <w:color w:val="000000"/>
                <w:kern w:val="0"/>
                <w:sz w:val="15"/>
                <w:szCs w:val="15"/>
              </w:rPr>
              <w:t>　</w:t>
            </w:r>
          </w:p>
        </w:tc>
      </w:tr>
      <w:tr>
        <w:tblPrEx>
          <w:tblCellMar>
            <w:top w:w="0" w:type="dxa"/>
            <w:left w:w="108" w:type="dxa"/>
            <w:bottom w:w="0" w:type="dxa"/>
            <w:right w:w="108" w:type="dxa"/>
          </w:tblCellMar>
        </w:tblPrEx>
        <w:trPr>
          <w:trHeight w:val="297" w:hRule="atLeast"/>
          <w:jc w:val="center"/>
        </w:trPr>
        <w:tc>
          <w:tcPr>
            <w:tcW w:w="100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主管部门</w:t>
            </w:r>
          </w:p>
        </w:tc>
        <w:tc>
          <w:tcPr>
            <w:tcW w:w="452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益阳市教育局</w:t>
            </w:r>
          </w:p>
        </w:tc>
        <w:tc>
          <w:tcPr>
            <w:tcW w:w="847"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实施单位</w:t>
            </w:r>
          </w:p>
        </w:tc>
        <w:tc>
          <w:tcPr>
            <w:tcW w:w="2786"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益阳开放大学</w:t>
            </w:r>
          </w:p>
        </w:tc>
      </w:tr>
      <w:tr>
        <w:tblPrEx>
          <w:tblCellMar>
            <w:top w:w="0" w:type="dxa"/>
            <w:left w:w="108" w:type="dxa"/>
            <w:bottom w:w="0" w:type="dxa"/>
            <w:right w:w="108" w:type="dxa"/>
          </w:tblCellMar>
        </w:tblPrEx>
        <w:trPr>
          <w:trHeight w:val="562" w:hRule="atLeast"/>
          <w:jc w:val="center"/>
        </w:trPr>
        <w:tc>
          <w:tcPr>
            <w:tcW w:w="1005"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olor w:val="000000"/>
                <w:kern w:val="0"/>
                <w:sz w:val="15"/>
                <w:szCs w:val="15"/>
                <w:lang w:eastAsia="zh-CN"/>
              </w:rPr>
            </w:pPr>
            <w:r>
              <w:rPr>
                <w:rFonts w:ascii="Times New Roman" w:hAnsi="Times New Roman"/>
                <w:color w:val="000000"/>
                <w:kern w:val="0"/>
                <w:sz w:val="15"/>
                <w:szCs w:val="15"/>
              </w:rPr>
              <w:t>项目资金</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（万元）</w:t>
            </w:r>
          </w:p>
        </w:tc>
        <w:tc>
          <w:tcPr>
            <w:tcW w:w="20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预算数</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预算数</w:t>
            </w:r>
          </w:p>
        </w:tc>
        <w:tc>
          <w:tcPr>
            <w:tcW w:w="84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Times New Roman" w:hAnsi="Times New Roman"/>
                <w:sz w:val="15"/>
                <w:szCs w:val="15"/>
              </w:rPr>
            </w:pPr>
            <w:r>
              <w:rPr>
                <w:rFonts w:ascii="Times New Roman" w:hAnsi="Times New Roman"/>
                <w:sz w:val="15"/>
                <w:szCs w:val="15"/>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ascii="Times New Roman" w:hAnsi="Times New Roman"/>
                <w:sz w:val="15"/>
                <w:szCs w:val="15"/>
              </w:rPr>
            </w:pPr>
            <w:r>
              <w:rPr>
                <w:rFonts w:ascii="Times New Roman" w:hAnsi="Times New Roman"/>
                <w:sz w:val="15"/>
                <w:szCs w:val="15"/>
              </w:rPr>
              <w:t>执行数</w:t>
            </w:r>
          </w:p>
        </w:tc>
        <w:tc>
          <w:tcPr>
            <w:tcW w:w="65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Times New Roman" w:hAnsi="Times New Roman"/>
                <w:sz w:val="15"/>
                <w:szCs w:val="15"/>
              </w:rPr>
            </w:pPr>
            <w:r>
              <w:rPr>
                <w:rFonts w:ascii="Times New Roman" w:hAnsi="Times New Roman"/>
                <w:sz w:val="15"/>
                <w:szCs w:val="15"/>
              </w:rPr>
              <w:t>分值</w:t>
            </w:r>
          </w:p>
        </w:tc>
        <w:tc>
          <w:tcPr>
            <w:tcW w:w="811"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Times New Roman" w:hAnsi="Times New Roman"/>
                <w:sz w:val="15"/>
                <w:szCs w:val="15"/>
              </w:rPr>
            </w:pPr>
            <w:r>
              <w:rPr>
                <w:rFonts w:ascii="Times New Roman" w:hAnsi="Times New Roman"/>
                <w:sz w:val="15"/>
                <w:szCs w:val="15"/>
              </w:rPr>
              <w:t>执行率</w:t>
            </w:r>
          </w:p>
        </w:tc>
        <w:tc>
          <w:tcPr>
            <w:tcW w:w="1318"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Times New Roman" w:hAnsi="Times New Roman"/>
                <w:sz w:val="15"/>
                <w:szCs w:val="15"/>
              </w:rPr>
            </w:pPr>
            <w:r>
              <w:rPr>
                <w:rFonts w:ascii="Times New Roman" w:hAnsi="Times New Roman"/>
                <w:sz w:val="15"/>
                <w:szCs w:val="15"/>
              </w:rPr>
              <w:t>得分</w:t>
            </w:r>
          </w:p>
        </w:tc>
      </w:tr>
      <w:tr>
        <w:tblPrEx>
          <w:tblCellMar>
            <w:top w:w="0" w:type="dxa"/>
            <w:left w:w="108" w:type="dxa"/>
            <w:bottom w:w="0" w:type="dxa"/>
            <w:right w:w="108" w:type="dxa"/>
          </w:tblCellMar>
        </w:tblPrEx>
        <w:trPr>
          <w:trHeight w:val="297" w:hRule="atLeast"/>
          <w:jc w:val="center"/>
        </w:trPr>
        <w:tc>
          <w:tcPr>
            <w:tcW w:w="10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20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年度资金总额　</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0</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31.81</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1</w:t>
            </w:r>
            <w:r>
              <w:rPr>
                <w:rFonts w:hint="eastAsia" w:ascii="Times New Roman" w:hAnsi="Times New Roman"/>
                <w:color w:val="000000"/>
                <w:kern w:val="0"/>
                <w:sz w:val="15"/>
                <w:szCs w:val="15"/>
              </w:rPr>
              <w:t>0分</w:t>
            </w:r>
          </w:p>
        </w:tc>
        <w:tc>
          <w:tcPr>
            <w:tcW w:w="8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63.62%</w:t>
            </w:r>
          </w:p>
        </w:tc>
        <w:tc>
          <w:tcPr>
            <w:tcW w:w="13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7</w:t>
            </w:r>
          </w:p>
        </w:tc>
      </w:tr>
      <w:tr>
        <w:tblPrEx>
          <w:tblCellMar>
            <w:top w:w="0" w:type="dxa"/>
            <w:left w:w="108" w:type="dxa"/>
            <w:bottom w:w="0" w:type="dxa"/>
            <w:right w:w="108" w:type="dxa"/>
          </w:tblCellMar>
        </w:tblPrEx>
        <w:trPr>
          <w:trHeight w:val="297" w:hRule="atLeast"/>
          <w:jc w:val="center"/>
        </w:trPr>
        <w:tc>
          <w:tcPr>
            <w:tcW w:w="10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20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其中：当年财政拨款　</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0</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31.81</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8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3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r>
      <w:tr>
        <w:tblPrEx>
          <w:tblCellMar>
            <w:top w:w="0" w:type="dxa"/>
            <w:left w:w="108" w:type="dxa"/>
            <w:bottom w:w="0" w:type="dxa"/>
            <w:right w:w="108" w:type="dxa"/>
          </w:tblCellMar>
        </w:tblPrEx>
        <w:trPr>
          <w:trHeight w:val="297" w:hRule="atLeast"/>
          <w:jc w:val="center"/>
        </w:trPr>
        <w:tc>
          <w:tcPr>
            <w:tcW w:w="10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20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450" w:firstLineChars="300"/>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上年结转资金　</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8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3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r>
      <w:tr>
        <w:tblPrEx>
          <w:tblCellMar>
            <w:top w:w="0" w:type="dxa"/>
            <w:left w:w="108" w:type="dxa"/>
            <w:bottom w:w="0" w:type="dxa"/>
            <w:right w:w="108" w:type="dxa"/>
          </w:tblCellMar>
        </w:tblPrEx>
        <w:trPr>
          <w:trHeight w:val="297" w:hRule="atLeast"/>
          <w:jc w:val="center"/>
        </w:trPr>
        <w:tc>
          <w:tcPr>
            <w:tcW w:w="10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20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450" w:firstLineChars="300"/>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其他资金</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c>
          <w:tcPr>
            <w:tcW w:w="8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c>
          <w:tcPr>
            <w:tcW w:w="13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r>
              <w:rPr>
                <w:rFonts w:ascii="Times New Roman" w:hAnsi="Times New Roman"/>
                <w:color w:val="000000"/>
                <w:kern w:val="0"/>
                <w:sz w:val="15"/>
                <w:szCs w:val="15"/>
              </w:rPr>
              <w:t>　</w:t>
            </w:r>
          </w:p>
        </w:tc>
      </w:tr>
      <w:tr>
        <w:tblPrEx>
          <w:tblCellMar>
            <w:top w:w="0" w:type="dxa"/>
            <w:left w:w="108" w:type="dxa"/>
            <w:bottom w:w="0" w:type="dxa"/>
            <w:right w:w="108" w:type="dxa"/>
          </w:tblCellMar>
        </w:tblPrEx>
        <w:trPr>
          <w:trHeight w:val="297" w:hRule="atLeast"/>
          <w:jc w:val="center"/>
        </w:trPr>
        <w:tc>
          <w:tcPr>
            <w:tcW w:w="1005"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年度总体目标</w:t>
            </w:r>
          </w:p>
        </w:tc>
        <w:tc>
          <w:tcPr>
            <w:tcW w:w="452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预期目标</w:t>
            </w:r>
          </w:p>
        </w:tc>
        <w:tc>
          <w:tcPr>
            <w:tcW w:w="3633"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实际完成情况　</w:t>
            </w:r>
          </w:p>
        </w:tc>
      </w:tr>
      <w:tr>
        <w:tblPrEx>
          <w:tblCellMar>
            <w:top w:w="0" w:type="dxa"/>
            <w:left w:w="108" w:type="dxa"/>
            <w:bottom w:w="0" w:type="dxa"/>
            <w:right w:w="108" w:type="dxa"/>
          </w:tblCellMar>
        </w:tblPrEx>
        <w:trPr>
          <w:trHeight w:val="562" w:hRule="atLeast"/>
          <w:jc w:val="center"/>
        </w:trPr>
        <w:tc>
          <w:tcPr>
            <w:tcW w:w="100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452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300" w:firstLineChars="200"/>
              <w:jc w:val="left"/>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开展和区县教培项目合作，推进国家级示范性教师发展中心建设进程。</w:t>
            </w:r>
            <w:r>
              <w:rPr>
                <w:rFonts w:ascii="Times New Roman" w:hAnsi="Times New Roman"/>
                <w:color w:val="000000"/>
                <w:kern w:val="0"/>
                <w:sz w:val="15"/>
                <w:szCs w:val="15"/>
              </w:rPr>
              <w:t>　</w:t>
            </w:r>
          </w:p>
        </w:tc>
        <w:tc>
          <w:tcPr>
            <w:tcW w:w="3633"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300" w:firstLineChars="200"/>
              <w:jc w:val="left"/>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该资金50万元，截至年底实际支出31.81万元。主要用于12栋多媒体教室改造。</w:t>
            </w:r>
          </w:p>
        </w:tc>
      </w:tr>
      <w:tr>
        <w:tblPrEx>
          <w:tblCellMar>
            <w:top w:w="0" w:type="dxa"/>
            <w:left w:w="108" w:type="dxa"/>
            <w:bottom w:w="0" w:type="dxa"/>
            <w:right w:w="108" w:type="dxa"/>
          </w:tblCellMar>
        </w:tblPrEx>
        <w:trPr>
          <w:trHeight w:val="827" w:hRule="atLeast"/>
          <w:jc w:val="center"/>
        </w:trPr>
        <w:tc>
          <w:tcPr>
            <w:tcW w:w="1005"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一级指标</w:t>
            </w:r>
          </w:p>
        </w:tc>
        <w:tc>
          <w:tcPr>
            <w:tcW w:w="1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二级指标</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三级指标</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指标值</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完成值</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分值</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得分</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改进措施</w:t>
            </w:r>
          </w:p>
        </w:tc>
      </w:tr>
      <w:tr>
        <w:tblPrEx>
          <w:tblCellMar>
            <w:top w:w="0" w:type="dxa"/>
            <w:left w:w="108" w:type="dxa"/>
            <w:bottom w:w="0" w:type="dxa"/>
            <w:right w:w="108" w:type="dxa"/>
          </w:tblCellMar>
        </w:tblPrEx>
        <w:trPr>
          <w:trHeight w:val="56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(50分)</w:t>
            </w:r>
          </w:p>
        </w:tc>
        <w:tc>
          <w:tcPr>
            <w:tcW w:w="1003"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数量指标</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国培、省培、市培项目</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20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23</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56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市级教师研训基地校建设</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10个</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13个</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olor w:val="000000"/>
                <w:kern w:val="0"/>
                <w:sz w:val="15"/>
                <w:szCs w:val="15"/>
                <w:lang w:eastAsia="zh-CN"/>
              </w:rPr>
            </w:pPr>
            <w:r>
              <w:rPr>
                <w:rFonts w:hint="eastAsia" w:ascii="Times New Roman" w:hAnsi="Times New Roman"/>
                <w:color w:val="000000"/>
                <w:kern w:val="0"/>
                <w:sz w:val="15"/>
                <w:szCs w:val="15"/>
                <w:lang w:val="en-US" w:eastAsia="zh-CN"/>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56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“送培到校公益行”活动</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6次</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7次</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56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学校基础设施维护</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1个</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1个</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olor w:val="000000"/>
                <w:kern w:val="0"/>
                <w:sz w:val="15"/>
                <w:szCs w:val="15"/>
                <w:lang w:eastAsia="zh-CN"/>
              </w:rPr>
            </w:pPr>
            <w:r>
              <w:rPr>
                <w:rFonts w:hint="eastAsia" w:ascii="Times New Roman" w:hAnsi="Times New Roman"/>
                <w:color w:val="000000"/>
                <w:kern w:val="0"/>
                <w:sz w:val="15"/>
                <w:szCs w:val="15"/>
                <w:lang w:val="en-US" w:eastAsia="zh-CN"/>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405"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质量指标</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学习基地合格率</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56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olor w:val="000000"/>
                <w:kern w:val="0"/>
                <w:sz w:val="15"/>
                <w:szCs w:val="15"/>
              </w:rPr>
            </w:pPr>
            <w:r>
              <w:rPr>
                <w:rFonts w:hint="eastAsia" w:ascii="Times New Roman" w:hAnsi="Times New Roman"/>
                <w:color w:val="000000"/>
                <w:kern w:val="0"/>
                <w:sz w:val="15"/>
                <w:szCs w:val="15"/>
              </w:rPr>
              <w:t>费用支出标准</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合格率</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37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工程质量达标率</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827"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时效指标</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资金支付及时性</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≥60%</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3</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部门未及时报账，争取2023年一季度完成支付</w:t>
            </w:r>
          </w:p>
        </w:tc>
      </w:tr>
      <w:tr>
        <w:tblPrEx>
          <w:tblCellMar>
            <w:top w:w="0" w:type="dxa"/>
            <w:left w:w="108" w:type="dxa"/>
            <w:bottom w:w="0" w:type="dxa"/>
            <w:right w:w="108" w:type="dxa"/>
          </w:tblCellMar>
        </w:tblPrEx>
        <w:trPr>
          <w:trHeight w:val="56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olor w:val="000000"/>
                <w:kern w:val="0"/>
                <w:sz w:val="15"/>
                <w:szCs w:val="15"/>
              </w:rPr>
            </w:pPr>
            <w:r>
              <w:rPr>
                <w:rFonts w:hint="eastAsia" w:ascii="Times New Roman" w:hAnsi="Times New Roman"/>
                <w:color w:val="000000"/>
                <w:kern w:val="0"/>
                <w:sz w:val="15"/>
                <w:szCs w:val="15"/>
              </w:rPr>
              <w:t>各项工作完成</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及时率</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297"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成本指标</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成本控制率</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100%</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56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效益指标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w:t>
            </w:r>
            <w:r>
              <w:rPr>
                <w:rFonts w:hint="eastAsia" w:ascii="Times New Roman" w:hAnsi="Times New Roman"/>
                <w:color w:val="000000"/>
                <w:kern w:val="0"/>
                <w:sz w:val="15"/>
                <w:szCs w:val="15"/>
              </w:rPr>
              <w:t>4</w:t>
            </w:r>
            <w:r>
              <w:rPr>
                <w:rFonts w:ascii="Times New Roman" w:hAnsi="Times New Roman"/>
                <w:color w:val="000000"/>
                <w:kern w:val="0"/>
                <w:sz w:val="15"/>
                <w:szCs w:val="15"/>
              </w:rPr>
              <w:t>0分）</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生态</w:t>
            </w:r>
            <w:r>
              <w:rPr>
                <w:rFonts w:ascii="Times New Roman" w:hAnsi="Times New Roman"/>
                <w:color w:val="000000"/>
                <w:kern w:val="0"/>
                <w:sz w:val="15"/>
                <w:szCs w:val="15"/>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益指标</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项目完成后办学条件改善</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有所改善</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有所改善</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6</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olor w:val="000000"/>
                <w:kern w:val="0"/>
                <w:sz w:val="15"/>
                <w:szCs w:val="15"/>
                <w:lang w:eastAsia="zh-CN"/>
              </w:rPr>
            </w:pPr>
            <w:r>
              <w:rPr>
                <w:rFonts w:hint="eastAsia" w:ascii="Times New Roman" w:hAnsi="Times New Roman"/>
                <w:color w:val="000000"/>
                <w:kern w:val="0"/>
                <w:sz w:val="15"/>
                <w:szCs w:val="15"/>
                <w:lang w:val="en-US" w:eastAsia="zh-CN"/>
              </w:rPr>
              <w:t>6</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297"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益指标</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受益学生人数</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≥1000人</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≥1500</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297"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受益教师人数</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≥2000人</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≥6000</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562"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可持续影响指标</w:t>
            </w:r>
          </w:p>
        </w:tc>
        <w:tc>
          <w:tcPr>
            <w:tcW w:w="1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项目完成后学校提高影响力</w:t>
            </w:r>
          </w:p>
        </w:tc>
        <w:tc>
          <w:tcPr>
            <w:tcW w:w="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有所提升</w:t>
            </w:r>
          </w:p>
        </w:tc>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有所提升</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8</w:t>
            </w:r>
          </w:p>
        </w:tc>
        <w:tc>
          <w:tcPr>
            <w:tcW w:w="8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8</w:t>
            </w:r>
          </w:p>
        </w:tc>
        <w:tc>
          <w:tcPr>
            <w:tcW w:w="1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297"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社会公</w:t>
            </w:r>
            <w:r>
              <w:rPr>
                <w:rFonts w:hint="eastAsia" w:ascii="Times New Roman" w:hAnsi="Times New Roman"/>
                <w:color w:val="000000"/>
                <w:kern w:val="0"/>
                <w:sz w:val="15"/>
                <w:szCs w:val="15"/>
              </w:rPr>
              <w:t>众</w:t>
            </w:r>
            <w:r>
              <w:rPr>
                <w:rFonts w:ascii="Times New Roman" w:hAnsi="Times New Roman"/>
                <w:color w:val="000000"/>
                <w:kern w:val="0"/>
                <w:sz w:val="15"/>
                <w:szCs w:val="15"/>
              </w:rPr>
              <w:t>或服务对象满意度指标</w:t>
            </w:r>
          </w:p>
        </w:tc>
        <w:tc>
          <w:tcPr>
            <w:tcW w:w="154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部门满意度</w:t>
            </w:r>
          </w:p>
        </w:tc>
        <w:tc>
          <w:tcPr>
            <w:tcW w:w="9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≥95%</w:t>
            </w:r>
          </w:p>
        </w:tc>
        <w:tc>
          <w:tcPr>
            <w:tcW w:w="6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297" w:hRule="atLeast"/>
          <w:jc w:val="center"/>
        </w:trPr>
        <w:tc>
          <w:tcPr>
            <w:tcW w:w="10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教师满意率</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≥95%</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297" w:hRule="atLeast"/>
          <w:jc w:val="center"/>
        </w:trPr>
        <w:tc>
          <w:tcPr>
            <w:tcW w:w="100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color w:val="000000"/>
                <w:kern w:val="0"/>
                <w:sz w:val="15"/>
                <w:szCs w:val="15"/>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003"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c>
          <w:tcPr>
            <w:tcW w:w="15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学员满意度</w:t>
            </w:r>
          </w:p>
        </w:tc>
        <w:tc>
          <w:tcPr>
            <w:tcW w:w="9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≥90%</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≥95%</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6</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6</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r>
        <w:tblPrEx>
          <w:tblCellMar>
            <w:top w:w="0" w:type="dxa"/>
            <w:left w:w="108" w:type="dxa"/>
            <w:bottom w:w="0" w:type="dxa"/>
            <w:right w:w="108" w:type="dxa"/>
          </w:tblCellMar>
        </w:tblPrEx>
        <w:trPr>
          <w:trHeight w:val="463" w:hRule="atLeast"/>
          <w:jc w:val="center"/>
        </w:trPr>
        <w:tc>
          <w:tcPr>
            <w:tcW w:w="6374"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总分</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ascii="Times New Roman" w:hAnsi="Times New Roman"/>
                <w:color w:val="000000"/>
                <w:kern w:val="0"/>
                <w:sz w:val="15"/>
                <w:szCs w:val="15"/>
              </w:rPr>
              <w:t>100</w:t>
            </w:r>
            <w:r>
              <w:rPr>
                <w:rFonts w:hint="eastAsia" w:ascii="Times New Roman" w:hAnsi="Times New Roman"/>
                <w:color w:val="000000"/>
                <w:kern w:val="0"/>
                <w:sz w:val="15"/>
                <w:szCs w:val="15"/>
              </w:rPr>
              <w:t>分</w:t>
            </w:r>
          </w:p>
        </w:tc>
        <w:tc>
          <w:tcPr>
            <w:tcW w:w="81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r>
              <w:rPr>
                <w:rFonts w:hint="eastAsia" w:ascii="Times New Roman" w:hAnsi="Times New Roman"/>
                <w:color w:val="000000"/>
                <w:kern w:val="0"/>
                <w:sz w:val="15"/>
                <w:szCs w:val="15"/>
              </w:rPr>
              <w:t>95</w:t>
            </w:r>
          </w:p>
        </w:tc>
        <w:tc>
          <w:tcPr>
            <w:tcW w:w="1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color w:val="000000"/>
                <w:kern w:val="0"/>
                <w:sz w:val="15"/>
                <w:szCs w:val="15"/>
              </w:rPr>
            </w:pPr>
          </w:p>
        </w:tc>
      </w:tr>
    </w:tbl>
    <w:p>
      <w:pPr>
        <w:rPr>
          <w:sz w:val="15"/>
          <w:szCs w:val="15"/>
        </w:rPr>
      </w:pPr>
      <w:r>
        <w:rPr>
          <w:rFonts w:ascii="Times New Roman" w:hAnsi="Times New Roman" w:eastAsia="仿宋_GB2312" w:cs="Times New Roman"/>
          <w:color w:val="auto"/>
          <w:kern w:val="0"/>
          <w:sz w:val="21"/>
          <w:szCs w:val="21"/>
        </w:rPr>
        <w:t>填表人</w:t>
      </w:r>
      <w:r>
        <w:rPr>
          <w:rFonts w:hint="eastAsia" w:ascii="Times New Roman" w:hAnsi="Times New Roman" w:eastAsia="仿宋_GB2312" w:cs="Times New Roman"/>
          <w:color w:val="auto"/>
          <w:kern w:val="0"/>
          <w:sz w:val="21"/>
          <w:szCs w:val="21"/>
          <w:lang w:eastAsia="zh-CN"/>
        </w:rPr>
        <w:t>：</w:t>
      </w:r>
      <w:r>
        <w:rPr>
          <w:rFonts w:ascii="Times New Roman" w:hAnsi="Times New Roman" w:eastAsia="仿宋_GB2312" w:cs="Times New Roman"/>
          <w:color w:val="auto"/>
          <w:kern w:val="0"/>
          <w:sz w:val="21"/>
          <w:szCs w:val="21"/>
        </w:rPr>
        <w:t xml:space="preserve"> </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填报日期：</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联系电话：</w:t>
      </w:r>
      <w:r>
        <w:rPr>
          <w:rFonts w:hint="eastAsia" w:ascii="Times New Roman" w:hAnsi="Times New Roman" w:eastAsia="仿宋_GB2312" w:cs="Times New Roman"/>
          <w:color w:val="auto"/>
          <w:kern w:val="0"/>
          <w:sz w:val="21"/>
          <w:szCs w:val="21"/>
          <w:lang w:val="en-US" w:eastAsia="zh-CN"/>
        </w:rPr>
        <w:t xml:space="preserve">        </w:t>
      </w:r>
      <w:r>
        <w:rPr>
          <w:rFonts w:ascii="Times New Roman" w:hAnsi="Times New Roman" w:eastAsia="仿宋_GB2312" w:cs="Times New Roman"/>
          <w:color w:val="auto"/>
          <w:kern w:val="0"/>
          <w:sz w:val="21"/>
          <w:szCs w:val="21"/>
        </w:rPr>
        <w:t xml:space="preserve">  单位负责人签字：</w:t>
      </w:r>
    </w:p>
    <w:sectPr>
      <w:footerReference r:id="rId3" w:type="default"/>
      <w:pgSz w:w="11906" w:h="16838"/>
      <w:pgMar w:top="1587" w:right="1361"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F4433E"/>
    <w:multiLevelType w:val="singleLevel"/>
    <w:tmpl w:val="65F4433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1ZGUzMTVmMWQzNTY3YTMwMmVmZTJkNjAyNTgyYjIifQ=="/>
  </w:docVars>
  <w:rsids>
    <w:rsidRoot w:val="4B3C51E2"/>
    <w:rsid w:val="00112AA6"/>
    <w:rsid w:val="002A007B"/>
    <w:rsid w:val="003B45DC"/>
    <w:rsid w:val="00492EC7"/>
    <w:rsid w:val="0053480D"/>
    <w:rsid w:val="00BC4C7F"/>
    <w:rsid w:val="00C2436D"/>
    <w:rsid w:val="05E41A4E"/>
    <w:rsid w:val="07795A8D"/>
    <w:rsid w:val="09436276"/>
    <w:rsid w:val="0A2701A1"/>
    <w:rsid w:val="1C55350F"/>
    <w:rsid w:val="21D63B05"/>
    <w:rsid w:val="43527D59"/>
    <w:rsid w:val="43AF7580"/>
    <w:rsid w:val="471622EA"/>
    <w:rsid w:val="4B3C51E2"/>
    <w:rsid w:val="4D7D0349"/>
    <w:rsid w:val="4F544A36"/>
    <w:rsid w:val="545F2AC1"/>
    <w:rsid w:val="5A61249C"/>
    <w:rsid w:val="67A8489F"/>
    <w:rsid w:val="6914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Null"/>
    <w:qFormat/>
    <w:uiPriority w:val="0"/>
    <w:pPr>
      <w:jc w:val="both"/>
      <w:textAlignment w:val="baseline"/>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2366</Words>
  <Characters>2533</Characters>
  <Lines>4</Lines>
  <Paragraphs>5</Paragraphs>
  <TotalTime>0</TotalTime>
  <ScaleCrop>false</ScaleCrop>
  <LinksUpToDate>false</LinksUpToDate>
  <CharactersWithSpaces>2577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2023-03-13T12:23:00Z</dcterms:created>
  <dc:creator>刘玲</dc:creator>
  <cp:lastModifiedBy>文达</cp:lastModifiedBy>
  <dcterms:modified xsi:type="dcterms:W3CDTF">2023-03-23T01:31:03Z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6FBCC98EC61041A59523BE46C7815463</vt:lpwstr>
  </property>
</Properties>
</file>