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700" w:lineRule="exact"/>
        <w:jc w:val="center"/>
        <w:rPr>
          <w:rFonts w:hint="eastAsia" w:ascii="黑体" w:hAnsi="黑体" w:eastAsia="黑体" w:cs="黑体"/>
          <w:b w:val="0"/>
          <w:bCs w:val="0"/>
          <w:sz w:val="4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24"/>
        </w:rPr>
        <w:t>202</w:t>
      </w:r>
      <w:r>
        <w:rPr>
          <w:rFonts w:hint="eastAsia" w:ascii="黑体" w:hAnsi="黑体" w:eastAsia="黑体" w:cs="黑体"/>
          <w:b w:val="0"/>
          <w:bCs w:val="0"/>
          <w:sz w:val="44"/>
          <w:szCs w:val="24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sz w:val="44"/>
          <w:szCs w:val="24"/>
        </w:rPr>
        <w:t>年度中小学幼儿园安全保障经费</w:t>
      </w:r>
    </w:p>
    <w:p>
      <w:pPr>
        <w:spacing w:beforeLines="0" w:afterLines="0" w:line="700" w:lineRule="exact"/>
        <w:jc w:val="center"/>
        <w:rPr>
          <w:rFonts w:hint="eastAsia" w:ascii="方正小标宋简体" w:hAnsi="Times New Roman" w:eastAsia="方正小标宋简体"/>
          <w:sz w:val="4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24"/>
        </w:rPr>
        <w:t>（三防）项目资金绩效自评报告</w:t>
      </w:r>
      <w:r>
        <w:rPr>
          <w:rFonts w:hint="eastAsia" w:ascii="方正小标宋简体" w:hAnsi="Times New Roman" w:eastAsia="方正小标宋简体"/>
          <w:sz w:val="44"/>
          <w:szCs w:val="24"/>
          <w:lang w:val="en-US" w:eastAsia="zh-CN"/>
        </w:rPr>
        <w:t xml:space="preserve"> </w:t>
      </w:r>
    </w:p>
    <w:p>
      <w:pPr>
        <w:spacing w:beforeLines="0" w:afterLines="0" w:line="700" w:lineRule="exact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益阳市教育局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2022年4月15日</w:t>
      </w:r>
    </w:p>
    <w:p>
      <w:pPr>
        <w:adjustRightInd w:val="0"/>
        <w:snapToGrid w:val="0"/>
        <w:spacing w:beforeLines="0" w:afterLines="0" w:line="600" w:lineRule="exact"/>
        <w:ind w:firstLine="640" w:firstLineChars="200"/>
        <w:rPr>
          <w:rFonts w:hint="eastAsia" w:ascii="黑体" w:hAnsi="黑体" w:eastAsia="黑体"/>
          <w:sz w:val="32"/>
          <w:szCs w:val="24"/>
        </w:rPr>
      </w:pPr>
      <w:r>
        <w:rPr>
          <w:rFonts w:hint="eastAsia" w:ascii="黑体" w:hAnsi="黑体" w:eastAsia="黑体"/>
          <w:sz w:val="32"/>
          <w:szCs w:val="24"/>
        </w:rPr>
        <w:t>一、项目概况</w:t>
      </w:r>
    </w:p>
    <w:p>
      <w:pPr>
        <w:adjustRightInd w:val="0"/>
        <w:snapToGrid w:val="0"/>
        <w:spacing w:beforeLines="0" w:afterLines="0" w:line="600" w:lineRule="exact"/>
        <w:ind w:firstLine="608" w:firstLineChars="200"/>
        <w:rPr>
          <w:rFonts w:hint="eastAsia" w:ascii="仿宋_GB2312" w:eastAsia="仿宋_GB2312"/>
          <w:spacing w:val="-8"/>
          <w:sz w:val="32"/>
          <w:szCs w:val="32"/>
          <w:lang w:eastAsia="zh-CN"/>
        </w:rPr>
      </w:pPr>
      <w:r>
        <w:rPr>
          <w:rFonts w:hint="eastAsia" w:ascii="仿宋_GB2312"/>
          <w:spacing w:val="-8"/>
          <w:sz w:val="32"/>
          <w:szCs w:val="32"/>
          <w:lang w:eastAsia="zh-CN"/>
        </w:rPr>
        <w:t>为进一步加强校园“三防”建设，全面提升校园安全防范工作水平，保证学校教育教学秩序正常，维护社会和谐稳定，根据湖南</w:t>
      </w:r>
      <w:r>
        <w:rPr>
          <w:rFonts w:hint="eastAsia" w:ascii="仿宋_GB2312" w:eastAsia="仿宋_GB2312"/>
          <w:spacing w:val="-8"/>
          <w:sz w:val="32"/>
          <w:szCs w:val="32"/>
        </w:rPr>
        <w:t>省教育厅、公安厅、财政厅下发《关于进一步加强中小学幼儿园安防“三项”建设的通知》（</w:t>
      </w:r>
      <w:r>
        <w:rPr>
          <w:rFonts w:hint="eastAsia" w:ascii="仿宋_GB2312" w:eastAsia="仿宋_GB2312"/>
          <w:spacing w:val="-8"/>
          <w:sz w:val="32"/>
          <w:szCs w:val="32"/>
          <w:lang w:eastAsia="zh-CN"/>
        </w:rPr>
        <w:t>湘教通</w:t>
      </w:r>
      <w:r>
        <w:rPr>
          <w:rFonts w:hint="eastAsia" w:ascii="仿宋_GB2312" w:eastAsia="仿宋_GB2312"/>
          <w:spacing w:val="-8"/>
          <w:sz w:val="32"/>
          <w:szCs w:val="32"/>
        </w:rPr>
        <w:t>〔2019〕288号）</w:t>
      </w:r>
      <w:r>
        <w:rPr>
          <w:rFonts w:hint="eastAsia" w:ascii="仿宋_GB2312"/>
          <w:spacing w:val="-8"/>
          <w:sz w:val="32"/>
          <w:szCs w:val="32"/>
          <w:lang w:eastAsia="zh-CN"/>
        </w:rPr>
        <w:t>的有关指导精神</w:t>
      </w:r>
      <w:r>
        <w:rPr>
          <w:rFonts w:hint="eastAsia" w:ascii="仿宋_GB2312" w:eastAsia="仿宋_GB2312"/>
          <w:spacing w:val="-8"/>
          <w:sz w:val="32"/>
          <w:szCs w:val="32"/>
          <w:lang w:eastAsia="zh-CN"/>
        </w:rPr>
        <w:t>，</w:t>
      </w:r>
      <w:r>
        <w:rPr>
          <w:rFonts w:hint="eastAsia" w:ascii="仿宋_GB2312"/>
          <w:spacing w:val="-8"/>
          <w:sz w:val="32"/>
          <w:szCs w:val="32"/>
          <w:lang w:eastAsia="zh-CN"/>
        </w:rPr>
        <w:t>加强我市学校安全人防、物防、技防建设，完善校园安全“三防”基础设施，构建校园安全防控体系，落实校园安全职责，有效防范校园安全事故发生，保障学生健康成长。</w:t>
      </w:r>
      <w:r>
        <w:rPr>
          <w:rFonts w:hint="eastAsia" w:ascii="仿宋_GB2312" w:eastAsia="仿宋_GB2312"/>
          <w:spacing w:val="-8"/>
          <w:sz w:val="32"/>
          <w:szCs w:val="32"/>
          <w:lang w:eastAsia="zh-CN"/>
        </w:rPr>
        <w:t>为确保市直</w:t>
      </w:r>
      <w:r>
        <w:rPr>
          <w:rFonts w:hint="eastAsia" w:ascii="仿宋_GB2312"/>
          <w:spacing w:val="-8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pacing w:val="-8"/>
          <w:sz w:val="32"/>
          <w:szCs w:val="32"/>
          <w:lang w:val="en-US" w:eastAsia="zh-CN"/>
        </w:rPr>
        <w:t>所</w:t>
      </w:r>
      <w:r>
        <w:rPr>
          <w:rFonts w:hint="eastAsia" w:ascii="仿宋_GB2312" w:eastAsia="仿宋_GB2312"/>
          <w:spacing w:val="-8"/>
          <w:sz w:val="32"/>
          <w:szCs w:val="32"/>
          <w:lang w:eastAsia="zh-CN"/>
        </w:rPr>
        <w:t>中小学幼儿园三防建设全部达标（封闭式管理、专职保安员配备率、视频监控与公安联网率均需要达到</w:t>
      </w:r>
      <w:r>
        <w:rPr>
          <w:rFonts w:hint="eastAsia" w:ascii="仿宋_GB2312" w:eastAsia="仿宋_GB2312"/>
          <w:spacing w:val="-8"/>
          <w:sz w:val="32"/>
          <w:szCs w:val="32"/>
          <w:lang w:val="en-US" w:eastAsia="zh-CN"/>
        </w:rPr>
        <w:t>100%</w:t>
      </w:r>
      <w:r>
        <w:rPr>
          <w:rFonts w:hint="eastAsia" w:ascii="仿宋_GB2312" w:eastAsia="仿宋_GB2312"/>
          <w:spacing w:val="-8"/>
          <w:sz w:val="32"/>
          <w:szCs w:val="32"/>
          <w:lang w:eastAsia="zh-CN"/>
        </w:rPr>
        <w:t>），特此安排专项。</w:t>
      </w:r>
    </w:p>
    <w:p>
      <w:pPr>
        <w:numPr>
          <w:ilvl w:val="0"/>
          <w:numId w:val="1"/>
        </w:numPr>
        <w:adjustRightInd w:val="0"/>
        <w:snapToGrid w:val="0"/>
        <w:spacing w:beforeLines="0" w:afterLines="0" w:line="600" w:lineRule="exact"/>
        <w:ind w:firstLine="640" w:firstLineChars="200"/>
        <w:rPr>
          <w:rFonts w:hint="eastAsia" w:ascii="黑体" w:hAnsi="黑体" w:eastAsia="黑体" w:cs="Times New Roman"/>
          <w:sz w:val="32"/>
          <w:lang w:eastAsia="zh-CN"/>
        </w:rPr>
      </w:pPr>
      <w:r>
        <w:rPr>
          <w:rFonts w:hint="eastAsia" w:ascii="黑体" w:hAnsi="黑体" w:eastAsia="黑体" w:cs="Times New Roman"/>
          <w:sz w:val="32"/>
          <w:lang w:eastAsia="zh-CN"/>
        </w:rPr>
        <w:t>项目资金分配情况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600" w:lineRule="exact"/>
        <w:ind w:firstLine="640" w:firstLineChars="200"/>
        <w:rPr>
          <w:rFonts w:hint="eastAsia" w:ascii="黑体" w:hAnsi="黑体" w:eastAsia="黑体" w:cs="Times New Roman"/>
          <w:sz w:val="32"/>
          <w:lang w:eastAsia="zh-CN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2021年中小学幼儿园安全保障</w:t>
      </w:r>
      <w:r>
        <w:rPr>
          <w:rFonts w:hint="eastAsia" w:ascii="仿宋_GB2312" w:hAnsi="仿宋" w:cs="仿宋_GB2312"/>
          <w:kern w:val="0"/>
          <w:sz w:val="32"/>
          <w:szCs w:val="32"/>
          <w:lang w:eastAsia="zh-CN"/>
        </w:rPr>
        <w:t>经费市级拔付资金</w:t>
      </w:r>
      <w:r>
        <w:rPr>
          <w:rFonts w:hint="eastAsia" w:ascii="仿宋_GB2312" w:hAnsi="仿宋" w:cs="仿宋_GB2312"/>
          <w:kern w:val="0"/>
          <w:sz w:val="32"/>
          <w:szCs w:val="32"/>
          <w:lang w:val="en-US" w:eastAsia="zh-CN"/>
        </w:rPr>
        <w:t>152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万元，已全部用于</w:t>
      </w:r>
      <w:r>
        <w:rPr>
          <w:rFonts w:hint="eastAsia" w:ascii="仿宋_GB2312"/>
          <w:spacing w:val="-8"/>
          <w:sz w:val="32"/>
          <w:szCs w:val="32"/>
          <w:lang w:eastAsia="zh-CN"/>
        </w:rPr>
        <w:t>三防建设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活动中（</w:t>
      </w:r>
      <w:r>
        <w:rPr>
          <w:rFonts w:hint="eastAsia" w:ascii="仿宋_GB2312" w:hAnsi="仿宋" w:eastAsia="仿宋_GB2312"/>
          <w:sz w:val="32"/>
        </w:rPr>
        <w:t>明细附</w:t>
      </w:r>
      <w:r>
        <w:rPr>
          <w:rFonts w:hint="eastAsia" w:ascii="仿宋_GB2312" w:hAnsi="仿宋" w:eastAsia="仿宋_GB2312"/>
          <w:sz w:val="32"/>
          <w:lang w:eastAsia="zh-CN"/>
        </w:rPr>
        <w:t>下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）。</w:t>
      </w:r>
    </w:p>
    <w:tbl>
      <w:tblPr>
        <w:tblStyle w:val="3"/>
        <w:tblW w:w="84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2600"/>
        <w:gridCol w:w="1174"/>
        <w:gridCol w:w="1933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具体项目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经费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承办拨款单位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封闭式管理、专职保安员配备、视频监控与公安联网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50万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eastAsia="zh-CN"/>
              </w:rPr>
              <w:t>益阳师范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封闭式管理、专职保安员配备、视频监控与公安联网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6万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eastAsia="zh-CN"/>
              </w:rPr>
              <w:t>特殊学校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封闭式管理、专职保安员配备、视频监控与公安联网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36万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eastAsia="zh-CN"/>
              </w:rPr>
              <w:t>高技校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eastAsia="zh-CN"/>
              </w:rPr>
              <w:t>因资金下达较晚，尚未使用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封闭式管理、专职保安员配备、视频监控与公安联网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18万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eastAsia="zh-CN"/>
              </w:rPr>
              <w:t>市中心幼儿园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eastAsia="zh-CN"/>
              </w:rPr>
              <w:t>因资金下达较晚，尚未使用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封闭式管理、专职保安员配备、视频监控与公安联网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42万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eastAsia="zh-CN"/>
              </w:rPr>
              <w:t>市一中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eastAsia="zh-CN"/>
              </w:rPr>
              <w:t>因资金下达较晚，尚未使用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6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152万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9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beforeLines="0" w:afterLines="0" w:line="600" w:lineRule="exact"/>
        <w:ind w:firstLine="640" w:firstLineChars="200"/>
        <w:rPr>
          <w:rFonts w:hint="eastAsia" w:ascii="仿宋" w:hAnsi="仿宋" w:eastAsia="仿宋" w:cs="仿宋_GB2312"/>
          <w:kern w:val="28"/>
          <w:sz w:val="32"/>
          <w:szCs w:val="32"/>
          <w:lang w:val="zh-CN"/>
        </w:rPr>
      </w:pPr>
      <w:r>
        <w:rPr>
          <w:rFonts w:hint="eastAsia" w:ascii="仿宋" w:hAnsi="仿宋" w:eastAsia="仿宋" w:cs="仿宋_GB2312"/>
          <w:kern w:val="28"/>
          <w:sz w:val="32"/>
          <w:szCs w:val="32"/>
        </w:rPr>
        <w:t>根据有关政策文件规定</w:t>
      </w:r>
      <w:r>
        <w:rPr>
          <w:rFonts w:hint="eastAsia" w:ascii="仿宋" w:hAnsi="仿宋" w:eastAsia="仿宋" w:cs="仿宋_GB2312"/>
          <w:kern w:val="28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_GB2312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市教育局专项资金管理办法</w:t>
      </w:r>
      <w:r>
        <w:rPr>
          <w:rFonts w:hint="eastAsia" w:ascii="仿宋" w:hAnsi="仿宋" w:eastAsia="仿宋" w:cs="仿宋_GB2312"/>
          <w:sz w:val="32"/>
          <w:szCs w:val="32"/>
        </w:rPr>
        <w:t>》，</w:t>
      </w:r>
      <w:r>
        <w:rPr>
          <w:rFonts w:hint="eastAsia" w:ascii="仿宋" w:hAnsi="仿宋" w:eastAsia="仿宋" w:cs="仿宋_GB2312"/>
          <w:kern w:val="28"/>
          <w:sz w:val="32"/>
          <w:szCs w:val="32"/>
          <w:lang w:val="zh-CN"/>
        </w:rPr>
        <w:t>相关单位按照该办法要求和有关财务制度规定加强资金管理，资金拨付程序、费用开支范围及标准基本合规，相关手续较完善。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ind w:left="0" w:leftChars="0"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绩效自评工作开展情况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eastAsia" w:ascii="仿宋" w:hAnsi="仿宋" w:eastAsia="仿宋" w:cs="仿宋_GB2312"/>
          <w:kern w:val="28"/>
          <w:sz w:val="32"/>
          <w:szCs w:val="32"/>
          <w:lang w:val="zh-CN" w:eastAsia="zh-CN" w:bidi="ar-SA"/>
        </w:rPr>
      </w:pPr>
      <w:r>
        <w:rPr>
          <w:rFonts w:hint="eastAsia" w:ascii="仿宋" w:hAnsi="仿宋" w:eastAsia="仿宋" w:cs="仿宋_GB2312"/>
          <w:kern w:val="28"/>
          <w:sz w:val="32"/>
          <w:szCs w:val="32"/>
          <w:lang w:val="zh-CN" w:eastAsia="zh-CN" w:bidi="ar-SA"/>
        </w:rPr>
        <w:t>1.</w:t>
      </w:r>
      <w:r>
        <w:rPr>
          <w:rFonts w:hint="default" w:ascii="仿宋" w:hAnsi="仿宋" w:eastAsia="仿宋" w:cs="仿宋_GB2312"/>
          <w:kern w:val="28"/>
          <w:sz w:val="32"/>
          <w:szCs w:val="32"/>
          <w:lang w:val="zh-CN" w:eastAsia="zh-CN" w:bidi="ar-SA"/>
        </w:rPr>
        <w:t>落实安全保卫工作主体责任。明确安全是办学的底线，按照“单位负责、政府监管”原则，建立健全以中小学校长、幼儿园园长为第一责任人的内部安全保卫工作责任制，健全校内安全工作领导机构，加强校内日常安全管理。将安保工作作为学校幼儿园内部管理的重要内容，制定落实值班巡逻、防范守护、安全检查和隐患整改等各项安全保卫制度，与教育教学工作同谋划、同部署、同推进、同考核，形成党政领导、单位负责、部门协同、综合治理的工作格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22" w:firstLineChars="257"/>
        <w:rPr>
          <w:rFonts w:hint="eastAsia" w:ascii="仿宋" w:hAnsi="仿宋" w:eastAsia="仿宋" w:cs="仿宋_GB2312"/>
          <w:kern w:val="28"/>
          <w:sz w:val="32"/>
          <w:szCs w:val="32"/>
          <w:lang w:val="zh-CN" w:eastAsia="zh-CN" w:bidi="ar-SA"/>
        </w:rPr>
      </w:pPr>
      <w:r>
        <w:rPr>
          <w:rFonts w:hint="default" w:ascii="仿宋" w:hAnsi="仿宋" w:eastAsia="仿宋" w:cs="仿宋_GB2312"/>
          <w:kern w:val="28"/>
          <w:sz w:val="32"/>
          <w:szCs w:val="32"/>
          <w:lang w:val="zh-CN" w:eastAsia="zh-CN" w:bidi="ar-SA"/>
        </w:rPr>
        <w:t>2.加强校园保卫队伍建设。进一步健全安全管理机构，配齐配好专兼职安全保卫人员，按照相关标准聘用专职门卫和保安员，配备相应的护卫器械。进一步规范保卫队伍日常教育和考核评价，加强有关法律知识和治安保卫业务、技能培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22" w:firstLineChars="257"/>
        <w:rPr>
          <w:rFonts w:hint="eastAsia" w:ascii="仿宋" w:hAnsi="仿宋" w:eastAsia="仿宋" w:cs="仿宋_GB2312"/>
          <w:kern w:val="28"/>
          <w:sz w:val="32"/>
          <w:szCs w:val="32"/>
          <w:lang w:val="zh-CN" w:eastAsia="zh-CN" w:bidi="ar-SA"/>
        </w:rPr>
      </w:pPr>
      <w:r>
        <w:rPr>
          <w:rFonts w:hint="default" w:ascii="仿宋" w:hAnsi="仿宋" w:eastAsia="仿宋" w:cs="仿宋_GB2312"/>
          <w:kern w:val="28"/>
          <w:sz w:val="32"/>
          <w:szCs w:val="32"/>
          <w:lang w:val="zh-CN" w:eastAsia="zh-CN" w:bidi="ar-SA"/>
        </w:rPr>
        <w:t>3.加强校园物防设施建设。进一步完善中小学幼儿园围墙、护栏等实体防范设施建设，实行校园封闭式管理。城市、城镇及有条件的乡村，要在校园门口设置隔离栏、隔离墩或升降柱等硬质防冲撞设施。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22" w:firstLineChars="257"/>
        <w:jc w:val="both"/>
        <w:rPr>
          <w:rFonts w:hint="eastAsia" w:ascii="仿宋" w:hAnsi="仿宋" w:eastAsia="仿宋" w:cs="仿宋_GB2312"/>
          <w:kern w:val="28"/>
          <w:sz w:val="32"/>
          <w:szCs w:val="32"/>
          <w:lang w:val="zh-CN" w:eastAsia="zh-CN" w:bidi="ar-SA"/>
        </w:rPr>
      </w:pPr>
      <w:r>
        <w:rPr>
          <w:rFonts w:hint="default" w:ascii="仿宋" w:hAnsi="仿宋" w:eastAsia="仿宋" w:cs="仿宋_GB2312"/>
          <w:kern w:val="28"/>
          <w:sz w:val="32"/>
          <w:szCs w:val="32"/>
          <w:lang w:val="zh-CN" w:eastAsia="zh-CN" w:bidi="ar-SA"/>
        </w:rPr>
        <w:t>4.推进智慧安防系统建设。积极推动新技术、新手段在校园安防建设领域的深度应用，建立健全智慧校园智能预警平台，进一步规范一键式紧急报警、入侵报警、视频监控、出入口控制和电子巡查等系统建设，推进校园安防系统与公安、教育信息化应用服务体系的有效融合。已安装一键式紧急报警、视频监控系统的中小学幼儿园要实现与属地公安机关、教育部门联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22" w:firstLineChars="257"/>
        <w:rPr>
          <w:rFonts w:hint="eastAsia" w:ascii="仿宋" w:hAnsi="仿宋" w:eastAsia="仿宋" w:cs="仿宋_GB2312"/>
          <w:kern w:val="28"/>
          <w:sz w:val="32"/>
          <w:szCs w:val="32"/>
          <w:lang w:val="zh-CN" w:eastAsia="zh-CN" w:bidi="ar-SA"/>
        </w:rPr>
      </w:pPr>
      <w:r>
        <w:rPr>
          <w:rFonts w:hint="default" w:ascii="仿宋" w:hAnsi="仿宋" w:eastAsia="仿宋" w:cs="仿宋_GB2312"/>
          <w:kern w:val="28"/>
          <w:sz w:val="32"/>
          <w:szCs w:val="32"/>
          <w:lang w:val="zh-CN" w:eastAsia="zh-CN" w:bidi="ar-SA"/>
        </w:rPr>
        <w:t>5.加强校园安全防范制度建设。完善校园内部安全管理制度，重点加强校园门卫安全管理和上下学校园门口教职员工值守制度，确保安全防范工作有章可循、有迹可查。严格实行外来人员、车辆登记和安全检查制度，内部人员、车辆出入证制度，小学、幼儿园家长接送制度，防止无关人员、精神病人、来历不明人员进入校园，防止不法人员将危险品带入校园制造事端。强化校园及周边巡查制度，落实安全隐患自查整改制度，发现问题隐患及时整改。健全校车安全管理制度，配备安全管理人员，加强安全教育和车辆维护，保障学生乘车安全。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leftChars="200"/>
        <w:rPr>
          <w:rFonts w:hint="eastAsia" w:ascii="黑体" w:hAnsi="黑体" w:eastAsia="黑体"/>
          <w:sz w:val="32"/>
        </w:rPr>
      </w:pPr>
    </w:p>
    <w:p>
      <w:pPr>
        <w:adjustRightInd w:val="0"/>
        <w:snapToGrid w:val="0"/>
        <w:spacing w:beforeLines="0" w:afterLines="0" w:line="600" w:lineRule="exact"/>
        <w:ind w:firstLine="640" w:firstLineChars="200"/>
        <w:rPr>
          <w:rFonts w:hint="eastAsia" w:ascii="黑体" w:hAnsi="黑体" w:eastAsia="黑体"/>
          <w:sz w:val="32"/>
          <w:szCs w:val="24"/>
        </w:rPr>
      </w:pPr>
      <w:r>
        <w:rPr>
          <w:rFonts w:hint="eastAsia" w:ascii="黑体" w:hAnsi="黑体" w:eastAsia="黑体"/>
          <w:sz w:val="32"/>
          <w:szCs w:val="24"/>
          <w:lang w:val="en-US" w:eastAsia="zh-CN"/>
        </w:rPr>
        <w:t>四</w:t>
      </w:r>
      <w:r>
        <w:rPr>
          <w:rFonts w:hint="eastAsia" w:ascii="黑体" w:hAnsi="黑体" w:eastAsia="黑体"/>
          <w:sz w:val="32"/>
          <w:szCs w:val="24"/>
        </w:rPr>
        <w:t>、综合评价结论</w:t>
      </w:r>
    </w:p>
    <w:p>
      <w:pPr>
        <w:spacing w:line="700" w:lineRule="exact"/>
        <w:ind w:firstLine="640" w:firstLineChars="200"/>
        <w:jc w:val="left"/>
        <w:rPr>
          <w:rFonts w:hint="eastAsia" w:ascii="仿宋_GB2312" w:eastAsia="仿宋_GB2312"/>
          <w:spacing w:val="-8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根据《益阳市财政局关于开展202</w:t>
      </w:r>
      <w:r>
        <w:rPr>
          <w:rFonts w:hint="eastAsia" w:ascii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年度部门绩效自评工作的通知》精神，市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教育局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主要领导召开了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财务工作专题会议，由局机关班子成员与办公室、计财科全体人员和二级机构负责人参加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会议。明确了工作任务、出台了工作方案。采取调查分析相关文件、数据核查、询问查证等形式进行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自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评。</w:t>
      </w:r>
    </w:p>
    <w:p>
      <w:pPr>
        <w:widowControl/>
        <w:spacing w:line="600" w:lineRule="exact"/>
        <w:ind w:firstLine="640" w:firstLineChars="200"/>
        <w:rPr>
          <w:rFonts w:hint="eastAsia" w:ascii="仿宋_GB2312" w:eastAsia="仿宋_GB2312"/>
          <w:spacing w:val="-8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1.核实数据。对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202</w:t>
      </w:r>
      <w:r>
        <w:rPr>
          <w:rFonts w:hint="eastAsia" w:ascii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仿宋_GB2312" w:eastAsia="仿宋_GB2312"/>
          <w:spacing w:val="-8"/>
          <w:sz w:val="32"/>
          <w:szCs w:val="32"/>
          <w:lang w:eastAsia="zh-CN"/>
        </w:rPr>
        <w:t>中小学幼儿园安全保障经费（三防）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项目基础数据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的准确性、真实性进行了认真核实。</w:t>
      </w:r>
    </w:p>
    <w:p>
      <w:pPr>
        <w:widowControl/>
        <w:spacing w:line="600" w:lineRule="exact"/>
        <w:ind w:firstLine="640" w:firstLineChars="200"/>
        <w:rPr>
          <w:rFonts w:hint="eastAsia" w:ascii="仿宋_GB2312" w:eastAsia="仿宋_GB2312"/>
          <w:spacing w:val="-8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2.查阅资料。查阅了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202</w:t>
      </w:r>
      <w:r>
        <w:rPr>
          <w:rFonts w:hint="eastAsia" w:ascii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年的预算安排等资料。</w:t>
      </w:r>
    </w:p>
    <w:p>
      <w:pPr>
        <w:widowControl/>
        <w:spacing w:line="600" w:lineRule="exact"/>
        <w:ind w:firstLine="640" w:firstLineChars="200"/>
        <w:rPr>
          <w:rFonts w:hint="eastAsia" w:ascii="仿宋_GB2312" w:eastAsia="仿宋_GB2312"/>
          <w:spacing w:val="-8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3.实地查看。实地查看并核对了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项目相关的实施情况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rPr>
          <w:rFonts w:hint="eastAsia" w:ascii="仿宋_GB2312" w:eastAsia="仿宋_GB2312"/>
          <w:spacing w:val="-8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4.归纳汇总。对搜集的资料进行全面综合分析整理，发现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项目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支出中资金管理工作的成绩和不足，针对发现的问题寻找解决的方法，建立的长效机制。</w:t>
      </w:r>
    </w:p>
    <w:p>
      <w:pPr>
        <w:widowControl/>
        <w:spacing w:line="600" w:lineRule="exact"/>
        <w:ind w:firstLine="640" w:firstLineChars="200"/>
        <w:rPr>
          <w:rFonts w:hint="eastAsia" w:ascii="黑体" w:hAnsi="黑体" w:eastAsia="黑体"/>
          <w:sz w:val="32"/>
          <w:szCs w:val="24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5.形成自评报告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widowControl/>
        <w:spacing w:line="600" w:lineRule="exact"/>
        <w:ind w:firstLine="640" w:firstLineChars="200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通过上述评分，项目自评得分为</w:t>
      </w:r>
      <w:r>
        <w:rPr>
          <w:rFonts w:hint="eastAsia" w:ascii="仿宋_GB2312" w:cs="仿宋_GB2312"/>
          <w:color w:val="000000"/>
          <w:sz w:val="32"/>
          <w:szCs w:val="32"/>
          <w:lang w:val="en-US" w:eastAsia="zh-CN"/>
        </w:rPr>
        <w:t>92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分，按照等级评价标准，该项目属于优秀。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600" w:lineRule="exact"/>
        <w:ind w:firstLine="640" w:firstLineChars="200"/>
        <w:rPr>
          <w:rFonts w:hint="eastAsia" w:ascii="黑体" w:hAnsi="黑体" w:eastAsia="黑体"/>
          <w:sz w:val="32"/>
          <w:szCs w:val="24"/>
        </w:rPr>
      </w:pPr>
      <w:r>
        <w:rPr>
          <w:rFonts w:hint="eastAsia" w:ascii="黑体" w:hAnsi="黑体" w:eastAsia="黑体"/>
          <w:sz w:val="32"/>
          <w:szCs w:val="24"/>
          <w:lang w:val="en-US" w:eastAsia="zh-CN"/>
        </w:rPr>
        <w:t>五、</w:t>
      </w:r>
      <w:r>
        <w:rPr>
          <w:rFonts w:hint="eastAsia" w:ascii="黑体" w:hAnsi="黑体" w:eastAsia="黑体"/>
          <w:sz w:val="32"/>
          <w:szCs w:val="24"/>
        </w:rPr>
        <w:t>绩效目标实现情况分析</w:t>
      </w:r>
    </w:p>
    <w:p>
      <w:pPr>
        <w:widowControl/>
        <w:spacing w:beforeLines="0" w:afterLines="0" w:line="600" w:lineRule="exact"/>
        <w:ind w:firstLine="640" w:firstLineChars="200"/>
        <w:rPr>
          <w:rFonts w:hint="eastAsia" w:ascii="楷体_GB2312" w:hAnsi="仿宋" w:eastAsia="楷体_GB2312"/>
          <w:sz w:val="32"/>
          <w:szCs w:val="24"/>
        </w:rPr>
      </w:pPr>
      <w:r>
        <w:rPr>
          <w:rFonts w:hint="eastAsia" w:ascii="楷体_GB2312" w:hAnsi="仿宋" w:eastAsia="楷体_GB2312"/>
          <w:sz w:val="32"/>
          <w:szCs w:val="24"/>
        </w:rPr>
        <w:t>（一）项目资金使用及管理情况</w:t>
      </w:r>
    </w:p>
    <w:p>
      <w:pPr>
        <w:adjustRightInd w:val="0"/>
        <w:snapToGrid w:val="0"/>
        <w:spacing w:beforeLines="0" w:afterLines="0" w:line="600" w:lineRule="exact"/>
        <w:ind w:firstLine="640" w:firstLineChars="200"/>
        <w:rPr>
          <w:rFonts w:hint="eastAsia" w:ascii="仿宋_GB2312" w:hAnsi="仿宋"/>
          <w:sz w:val="32"/>
          <w:szCs w:val="24"/>
        </w:rPr>
      </w:pPr>
      <w:r>
        <w:rPr>
          <w:rFonts w:hint="eastAsia" w:ascii="仿宋_GB2312" w:hAnsi="仿宋"/>
          <w:sz w:val="32"/>
          <w:szCs w:val="24"/>
        </w:rPr>
        <w:t>1</w:t>
      </w:r>
      <w:r>
        <w:rPr>
          <w:rFonts w:hint="eastAsia" w:ascii="仿宋_GB2312" w:hAnsi="仿宋"/>
          <w:sz w:val="32"/>
          <w:szCs w:val="24"/>
          <w:lang w:eastAsia="zh-CN"/>
        </w:rPr>
        <w:t>.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202</w:t>
      </w:r>
      <w:r>
        <w:rPr>
          <w:rFonts w:hint="eastAsia" w:ascii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年安排</w:t>
      </w:r>
      <w:r>
        <w:rPr>
          <w:rFonts w:hint="eastAsia" w:ascii="仿宋_GB2312" w:eastAsia="仿宋_GB2312"/>
          <w:spacing w:val="-8"/>
          <w:sz w:val="32"/>
          <w:szCs w:val="32"/>
          <w:lang w:eastAsia="zh-CN"/>
        </w:rPr>
        <w:t>中小学幼儿园安全保障经费（三防）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152万元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beforeLines="0" w:afterLines="0" w:line="600" w:lineRule="exact"/>
        <w:ind w:firstLine="640" w:firstLineChars="200"/>
        <w:rPr>
          <w:rFonts w:hint="default" w:asci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/>
          <w:sz w:val="32"/>
          <w:szCs w:val="24"/>
        </w:rPr>
        <w:t>2</w:t>
      </w:r>
      <w:r>
        <w:rPr>
          <w:rFonts w:hint="eastAsia" w:ascii="仿宋_GB2312" w:hAnsi="仿宋"/>
          <w:sz w:val="32"/>
          <w:szCs w:val="24"/>
          <w:lang w:eastAsia="zh-CN"/>
        </w:rPr>
        <w:t>.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资金实际使用</w:t>
      </w:r>
      <w:r>
        <w:rPr>
          <w:rFonts w:hint="eastAsia" w:ascii="仿宋_GB2312" w:cs="仿宋_GB2312"/>
          <w:color w:val="000000"/>
          <w:sz w:val="32"/>
          <w:szCs w:val="32"/>
          <w:lang w:val="en-US" w:eastAsia="zh-CN"/>
        </w:rPr>
        <w:t>56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万元，全部用于配备的校园安保专职人员费用</w:t>
      </w:r>
      <w:r>
        <w:rPr>
          <w:rFonts w:hint="eastAsia" w:ascii="仿宋_GB2312" w:cs="仿宋_GB2312"/>
          <w:color w:val="000000"/>
          <w:sz w:val="32"/>
          <w:szCs w:val="32"/>
          <w:lang w:val="en-US" w:eastAsia="zh-CN"/>
        </w:rPr>
        <w:t>，由于部分资金下达时间到位较晚，有部分学校尚未使用该笔经费</w:t>
      </w:r>
      <w:r>
        <w:rPr>
          <w:rFonts w:hint="eastAsia" w:ascii="宋体" w:hAnsi="宋体"/>
          <w:sz w:val="28"/>
          <w:szCs w:val="28"/>
          <w:lang w:val="en-US" w:eastAsia="zh-CN"/>
        </w:rPr>
        <w:t>。</w:t>
      </w:r>
    </w:p>
    <w:p>
      <w:pPr>
        <w:adjustRightInd w:val="0"/>
        <w:snapToGrid w:val="0"/>
        <w:spacing w:beforeLines="0" w:afterLines="0" w:line="600" w:lineRule="exact"/>
        <w:ind w:firstLine="640" w:firstLineChars="200"/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/>
          <w:sz w:val="32"/>
          <w:szCs w:val="24"/>
        </w:rPr>
        <w:t>3</w:t>
      </w:r>
      <w:r>
        <w:rPr>
          <w:rFonts w:hint="eastAsia" w:ascii="仿宋_GB2312" w:hAnsi="仿宋"/>
          <w:sz w:val="32"/>
          <w:szCs w:val="24"/>
          <w:lang w:eastAsia="zh-CN"/>
        </w:rPr>
        <w:t>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项目资金的管理适用《市教育局专项资金管理办法》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。</w:t>
      </w:r>
    </w:p>
    <w:p>
      <w:pPr>
        <w:widowControl/>
        <w:spacing w:beforeLines="0" w:afterLines="0" w:line="600" w:lineRule="exact"/>
        <w:ind w:firstLine="640" w:firstLineChars="200"/>
        <w:rPr>
          <w:rFonts w:hint="eastAsia" w:ascii="楷体_GB2312" w:hAnsi="仿宋" w:eastAsia="楷体_GB2312"/>
          <w:sz w:val="32"/>
          <w:szCs w:val="24"/>
        </w:rPr>
      </w:pPr>
      <w:r>
        <w:rPr>
          <w:rFonts w:hint="eastAsia" w:ascii="楷体_GB2312" w:hAnsi="仿宋" w:eastAsia="楷体_GB2312"/>
          <w:sz w:val="32"/>
          <w:szCs w:val="24"/>
        </w:rPr>
        <w:t>（二）总体绩效目标完成情况分析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firstLine="420"/>
        <w:rPr>
          <w:rFonts w:ascii="Calibri" w:hAnsi="Calibri" w:eastAsia="仿宋_GB2312" w:cs="Times New Roman"/>
          <w:kern w:val="2"/>
          <w:sz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24"/>
          <w:lang w:val="en-US" w:eastAsia="zh-CN" w:bidi="ar-SA"/>
        </w:rPr>
        <w:t>1</w:t>
      </w:r>
      <w:r>
        <w:rPr>
          <w:rFonts w:ascii="Calibri" w:hAnsi="Calibri" w:eastAsia="仿宋_GB2312" w:cs="Times New Roman"/>
          <w:kern w:val="2"/>
          <w:sz w:val="32"/>
          <w:lang w:val="en-US" w:eastAsia="zh-CN" w:bidi="ar-SA"/>
        </w:rPr>
        <w:t>、进一步提高政治站位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firstLine="420"/>
        <w:rPr>
          <w:rFonts w:ascii="Calibri" w:hAnsi="Calibri" w:eastAsia="仿宋_GB2312" w:cs="Times New Roman"/>
          <w:kern w:val="2"/>
          <w:sz w:val="32"/>
          <w:lang w:val="en-US" w:eastAsia="zh-CN" w:bidi="ar-SA"/>
        </w:rPr>
      </w:pPr>
      <w:r>
        <w:rPr>
          <w:rFonts w:ascii="Calibri" w:hAnsi="Calibri" w:eastAsia="仿宋_GB2312" w:cs="Times New Roman"/>
          <w:kern w:val="2"/>
          <w:sz w:val="32"/>
          <w:lang w:val="en-US" w:eastAsia="zh-CN" w:bidi="ar-SA"/>
        </w:rPr>
        <w:t>校园安全事关千万家庭幸福安宁，事关社会大局和谐稳定。近年来，习近平总书记多次对校园安全作出重要指示批示，党中央、国务院高度重视，及时作出安排部署</w:t>
      </w:r>
      <w:r>
        <w:rPr>
          <w:rFonts w:hint="eastAsia" w:cs="Times New Roman"/>
          <w:kern w:val="2"/>
          <w:sz w:val="32"/>
          <w:lang w:val="en-US" w:eastAsia="zh-CN" w:bidi="ar-SA"/>
        </w:rPr>
        <w:t>，</w:t>
      </w:r>
      <w:r>
        <w:rPr>
          <w:rFonts w:ascii="Calibri" w:hAnsi="Calibri" w:eastAsia="仿宋_GB2312" w:cs="Times New Roman"/>
          <w:kern w:val="2"/>
          <w:sz w:val="32"/>
          <w:lang w:val="en-US" w:eastAsia="zh-CN" w:bidi="ar-SA"/>
        </w:rPr>
        <w:t>政府负责、部门协同、社会参与、群防群治的长效工作机制，压紧压实各方安全责任，全面落实校（园）长安全保卫第一责任人责任，全力以赴抓好校园安全防范工作特别是“三防”建设达标工作，未雨绸缪、防患未然，全力筑牢安全防线，不断提升维护校园安全能力水平，确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-SA"/>
        </w:rPr>
        <w:t>保2022</w:t>
      </w:r>
      <w:r>
        <w:rPr>
          <w:rFonts w:ascii="Calibri" w:hAnsi="Calibri" w:eastAsia="仿宋_GB2312" w:cs="Times New Roman"/>
          <w:kern w:val="2"/>
          <w:sz w:val="32"/>
          <w:lang w:val="en-US" w:eastAsia="zh-CN" w:bidi="ar-SA"/>
        </w:rPr>
        <w:t>年底前，校园“三防”建设全面达标。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firstLine="420"/>
        <w:rPr>
          <w:rFonts w:ascii="Calibri" w:hAnsi="Calibri" w:eastAsia="仿宋_GB2312" w:cs="Times New Roman"/>
          <w:kern w:val="2"/>
          <w:sz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24"/>
          <w:lang w:val="en-US" w:eastAsia="zh-CN" w:bidi="ar-SA"/>
        </w:rPr>
        <w:t>2</w:t>
      </w:r>
      <w:r>
        <w:rPr>
          <w:rFonts w:ascii="Calibri" w:hAnsi="Calibri" w:eastAsia="仿宋_GB2312" w:cs="Times New Roman"/>
          <w:kern w:val="2"/>
          <w:sz w:val="32"/>
          <w:lang w:val="en-US" w:eastAsia="zh-CN" w:bidi="ar-SA"/>
        </w:rPr>
        <w:t>、进一步加强人防建设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firstLine="640" w:firstLineChars="200"/>
        <w:rPr>
          <w:rFonts w:ascii="Calibri" w:hAnsi="Calibri" w:eastAsia="仿宋_GB2312" w:cs="Times New Roman"/>
          <w:kern w:val="2"/>
          <w:sz w:val="32"/>
          <w:lang w:val="en-US" w:eastAsia="zh-CN" w:bidi="ar-SA"/>
        </w:rPr>
      </w:pPr>
      <w:r>
        <w:rPr>
          <w:rFonts w:ascii="Calibri" w:hAnsi="Calibri" w:eastAsia="仿宋_GB2312" w:cs="Times New Roman"/>
          <w:kern w:val="2"/>
          <w:sz w:val="32"/>
          <w:lang w:val="en-US" w:eastAsia="zh-CN" w:bidi="ar-SA"/>
        </w:rPr>
        <w:t>各级政府要深化公安民警主导，协辅警、保卫人员、保安员、教职员工和群防群治力量共同参与的常态化“护学岗”建设，不断优化上、下学重点时段和校园周边重要路段“高峰勤务”机制。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firstLine="640" w:firstLineChars="200"/>
        <w:rPr>
          <w:rFonts w:ascii="Calibri" w:hAnsi="Calibri" w:eastAsia="仿宋_GB2312" w:cs="Times New Roman"/>
          <w:kern w:val="2"/>
          <w:sz w:val="32"/>
          <w:lang w:val="en-US" w:eastAsia="zh-CN" w:bidi="ar-SA"/>
        </w:rPr>
      </w:pPr>
      <w:r>
        <w:rPr>
          <w:rFonts w:ascii="Calibri" w:hAnsi="Calibri" w:eastAsia="仿宋_GB2312" w:cs="Times New Roman"/>
          <w:kern w:val="2"/>
          <w:sz w:val="32"/>
          <w:lang w:val="en-US" w:eastAsia="zh-CN" w:bidi="ar-SA"/>
        </w:rPr>
        <w:t>校园要设置与治安保卫任务相适应的安全保卫机构，要根据在校师生人数、门岗数、学生寄宿、周边治安等情况配备专职安全保卫人员，并分别向所在地公安、教育行政部门备案。配备的专职保安员要做到持资格证上岗，接受属地公安机关指导、管理、培训。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-SA"/>
        </w:rPr>
        <w:t>2022</w:t>
      </w:r>
      <w:r>
        <w:rPr>
          <w:rFonts w:ascii="Calibri" w:hAnsi="Calibri" w:eastAsia="仿宋_GB2312" w:cs="Times New Roman"/>
          <w:kern w:val="2"/>
          <w:sz w:val="32"/>
          <w:lang w:val="en-US" w:eastAsia="zh-CN" w:bidi="ar-SA"/>
        </w:rPr>
        <w:t>年全</w:t>
      </w:r>
      <w:r>
        <w:rPr>
          <w:rFonts w:hint="eastAsia" w:cs="Times New Roman"/>
          <w:kern w:val="2"/>
          <w:sz w:val="32"/>
          <w:lang w:val="en-US" w:eastAsia="zh-CN" w:bidi="ar-SA"/>
        </w:rPr>
        <w:t>市</w:t>
      </w:r>
      <w:r>
        <w:rPr>
          <w:rFonts w:ascii="Calibri" w:hAnsi="Calibri" w:eastAsia="仿宋_GB2312" w:cs="Times New Roman"/>
          <w:kern w:val="2"/>
          <w:sz w:val="32"/>
          <w:lang w:val="en-US" w:eastAsia="zh-CN" w:bidi="ar-SA"/>
        </w:rPr>
        <w:t>校园专职保安员配备率达到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-SA"/>
        </w:rPr>
        <w:t>100%。</w:t>
      </w:r>
      <w:r>
        <w:rPr>
          <w:rFonts w:ascii="Calibri" w:hAnsi="Calibri" w:eastAsia="仿宋_GB2312" w:cs="Times New Roman"/>
          <w:kern w:val="2"/>
          <w:sz w:val="32"/>
          <w:lang w:val="en-US" w:eastAsia="zh-CN" w:bidi="ar-SA"/>
        </w:rPr>
        <w:t>建立健全各类突发事件应急处置工作机制、完善应急预案，每学期至少组织开</w:t>
      </w: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-SA"/>
        </w:rPr>
        <w:t>展1次</w:t>
      </w:r>
      <w:r>
        <w:rPr>
          <w:rFonts w:ascii="Calibri" w:hAnsi="Calibri" w:eastAsia="仿宋_GB2312" w:cs="Times New Roman"/>
          <w:kern w:val="2"/>
          <w:sz w:val="32"/>
          <w:lang w:val="en-US" w:eastAsia="zh-CN" w:bidi="ar-SA"/>
        </w:rPr>
        <w:t>应急演练，切实提高应急避险和自救互救能力水平。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firstLine="420"/>
        <w:rPr>
          <w:rFonts w:ascii="Calibri" w:hAnsi="Calibri" w:eastAsia="仿宋_GB2312" w:cs="Times New Roman"/>
          <w:kern w:val="2"/>
          <w:sz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24"/>
          <w:lang w:val="en-US" w:eastAsia="zh-CN" w:bidi="ar-SA"/>
        </w:rPr>
        <w:t>3</w:t>
      </w:r>
      <w:r>
        <w:rPr>
          <w:rFonts w:ascii="Calibri" w:hAnsi="Calibri" w:eastAsia="仿宋_GB2312" w:cs="Times New Roman"/>
          <w:kern w:val="2"/>
          <w:sz w:val="32"/>
          <w:lang w:val="en-US" w:eastAsia="zh-CN" w:bidi="ar-SA"/>
        </w:rPr>
        <w:t>、进一步加强物防建设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firstLine="640" w:firstLineChars="200"/>
        <w:rPr>
          <w:rFonts w:hint="eastAsia" w:ascii="Calibri" w:hAnsi="Calibri" w:eastAsia="仿宋_GB2312" w:cs="Times New Roman"/>
          <w:kern w:val="2"/>
          <w:sz w:val="32"/>
          <w:lang w:val="en-US" w:eastAsia="zh-CN" w:bidi="ar-SA"/>
        </w:rPr>
      </w:pPr>
      <w:r>
        <w:rPr>
          <w:rFonts w:ascii="Calibri" w:hAnsi="Calibri" w:eastAsia="仿宋_GB2312" w:cs="Times New Roman"/>
          <w:kern w:val="2"/>
          <w:sz w:val="32"/>
          <w:lang w:val="en-US" w:eastAsia="zh-CN" w:bidi="ar-SA"/>
        </w:rPr>
        <w:t>进一步完善校园实体防范设施建设，设置高度不低于</w:t>
      </w:r>
      <w:r>
        <w:rPr>
          <w:rFonts w:hint="eastAsia" w:ascii="仿宋" w:hAnsi="仿宋" w:eastAsia="仿宋" w:cs="仿宋"/>
          <w:kern w:val="2"/>
          <w:sz w:val="32"/>
          <w:lang w:val="en-US" w:eastAsia="zh-CN" w:bidi="ar-SA"/>
        </w:rPr>
        <w:t>2</w:t>
      </w:r>
      <w:r>
        <w:rPr>
          <w:rFonts w:ascii="Calibri" w:hAnsi="Calibri" w:eastAsia="仿宋_GB2312" w:cs="Times New Roman"/>
          <w:kern w:val="2"/>
          <w:sz w:val="32"/>
          <w:lang w:val="en-US" w:eastAsia="zh-CN" w:bidi="ar-SA"/>
        </w:rPr>
        <w:t>米的围墙或其他实体屏障等周界设施，并设置防爬设施，实行校园封闭化管理。</w:t>
      </w:r>
      <w:r>
        <w:rPr>
          <w:rFonts w:hint="eastAsia" w:ascii="仿宋" w:hAnsi="仿宋" w:eastAsia="仿宋" w:cs="仿宋"/>
          <w:kern w:val="2"/>
          <w:sz w:val="32"/>
          <w:lang w:val="en-US" w:eastAsia="zh-CN" w:bidi="ar-SA"/>
        </w:rPr>
        <w:t>2022</w:t>
      </w:r>
      <w:r>
        <w:rPr>
          <w:rFonts w:ascii="Calibri" w:hAnsi="Calibri" w:eastAsia="仿宋_GB2312" w:cs="Times New Roman"/>
          <w:kern w:val="2"/>
          <w:sz w:val="32"/>
          <w:lang w:val="en-US" w:eastAsia="zh-CN" w:bidi="ar-SA"/>
        </w:rPr>
        <w:t>年底全</w:t>
      </w:r>
      <w:r>
        <w:rPr>
          <w:rFonts w:hint="eastAsia" w:cs="Times New Roman"/>
          <w:kern w:val="2"/>
          <w:sz w:val="32"/>
          <w:lang w:val="en-US" w:eastAsia="zh-CN" w:bidi="ar-SA"/>
        </w:rPr>
        <w:t>市</w:t>
      </w:r>
      <w:r>
        <w:rPr>
          <w:rFonts w:ascii="Calibri" w:hAnsi="Calibri" w:eastAsia="仿宋_GB2312" w:cs="Times New Roman"/>
          <w:kern w:val="2"/>
          <w:sz w:val="32"/>
          <w:lang w:val="en-US" w:eastAsia="zh-CN" w:bidi="ar-SA"/>
        </w:rPr>
        <w:t>校园封闭化管理率达到</w:t>
      </w:r>
      <w:r>
        <w:rPr>
          <w:rFonts w:hint="eastAsia" w:ascii="仿宋" w:hAnsi="仿宋" w:eastAsia="仿宋" w:cs="仿宋"/>
          <w:kern w:val="2"/>
          <w:sz w:val="32"/>
          <w:lang w:val="en-US" w:eastAsia="zh-CN" w:bidi="ar-SA"/>
        </w:rPr>
        <w:t>100%</w:t>
      </w:r>
      <w:r>
        <w:rPr>
          <w:rFonts w:ascii="Calibri" w:hAnsi="Calibri" w:eastAsia="仿宋_GB2312" w:cs="Times New Roman"/>
          <w:kern w:val="2"/>
          <w:sz w:val="32"/>
          <w:lang w:val="en-US" w:eastAsia="zh-CN" w:bidi="ar-SA"/>
        </w:rPr>
        <w:t>。要在校园门口设置隔离栏、隔离墩或升降柱等硬质防冲撞设施；公安机关要根据校园及周边区域的治安、交通状况，在校园门口设置相应的交通信号灯、交通标志和标线、分隔设施等</w:t>
      </w:r>
      <w:r>
        <w:rPr>
          <w:rFonts w:hint="eastAsia" w:cs="Times New Roman"/>
          <w:kern w:val="2"/>
          <w:sz w:val="32"/>
          <w:lang w:val="en-US" w:eastAsia="zh-CN" w:bidi="ar-SA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firstLine="739" w:firstLineChars="231"/>
        <w:rPr>
          <w:rFonts w:ascii="Calibri" w:hAnsi="Calibri" w:eastAsia="仿宋_GB2312" w:cs="Times New Roman"/>
          <w:kern w:val="2"/>
          <w:sz w:val="32"/>
          <w:lang w:val="en-US" w:eastAsia="zh-CN" w:bidi="ar-SA"/>
        </w:rPr>
      </w:pPr>
      <w:r>
        <w:rPr>
          <w:rFonts w:ascii="Calibri" w:hAnsi="Calibri" w:eastAsia="仿宋_GB2312" w:cs="Times New Roman"/>
          <w:kern w:val="2"/>
          <w:sz w:val="32"/>
          <w:lang w:val="en-US" w:eastAsia="zh-CN" w:bidi="ar-SA"/>
        </w:rPr>
        <w:t>紧盯校内重点部位、重要场所和重大隐患等，强化安全防范设施建设。校园安全监控中心、财务室以及集中存放保密性、贵重性、危险性物品场所等重要部位，要使用符合安全防范标准的专用库房或符合国家标准的保险柜（箱）、锁具。校内建筑物天台及通往天台的通道等，要设置必要的防坠楼设施。校园门岗值班室要配备足够的防护盾牌、防刺背心、橡胶警棍、安全钢叉等基本防卫器械。校园教学楼、学生宿舍、图书馆、食堂等学生集中学习和生活场所，要按技术规范设置消防设施、配备消防器材，并定期检测更新、确保完好有效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60" w:beforeAutospacing="0" w:after="60" w:afterAutospacing="0"/>
        <w:ind w:left="420" w:leftChars="0" w:right="0" w:rightChars="0"/>
        <w:rPr>
          <w:rFonts w:ascii="Calibri" w:hAnsi="Calibri" w:eastAsia="仿宋_GB2312" w:cs="Times New Roman"/>
          <w:kern w:val="2"/>
          <w:sz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24"/>
          <w:lang w:val="en-US" w:eastAsia="zh-CN" w:bidi="ar-SA"/>
        </w:rPr>
        <w:t>4、</w:t>
      </w:r>
      <w:r>
        <w:rPr>
          <w:rFonts w:ascii="Calibri" w:hAnsi="Calibri" w:eastAsia="仿宋_GB2312" w:cs="Times New Roman"/>
          <w:kern w:val="2"/>
          <w:sz w:val="32"/>
          <w:lang w:val="en-US" w:eastAsia="zh-CN" w:bidi="ar-SA"/>
        </w:rPr>
        <w:t>进一步加强技防建设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60" w:beforeAutospacing="0" w:after="60" w:afterAutospacing="0"/>
        <w:ind w:right="0" w:rightChars="0" w:firstLine="640" w:firstLineChars="200"/>
        <w:rPr>
          <w:rFonts w:ascii="Calibri" w:hAnsi="Calibri" w:eastAsia="仿宋_GB2312" w:cs="Times New Roman"/>
          <w:kern w:val="2"/>
          <w:sz w:val="32"/>
          <w:lang w:val="en-US" w:eastAsia="zh-CN" w:bidi="ar-SA"/>
        </w:rPr>
      </w:pPr>
      <w:r>
        <w:rPr>
          <w:rFonts w:ascii="Calibri" w:hAnsi="Calibri" w:eastAsia="仿宋_GB2312" w:cs="Times New Roman"/>
          <w:kern w:val="2"/>
          <w:sz w:val="32"/>
          <w:lang w:val="en-US" w:eastAsia="zh-CN" w:bidi="ar-SA"/>
        </w:rPr>
        <w:t>按照有关安全技术防范系统要求，积极推动新技术、新手段在校园安全防范中的应用，建立健全智慧校园安全防范平台，新建校园要将智慧安全防范系统与校园建设同步规划、同步建设。在门岗值班室、学生宿舍楼值班室等设置一键式紧急报警装置，在校园出入口建立来访人员登记查验信息系统，在校园门口及校内公共区域、人员密集点、体育场制高点、食堂、财务室等重要部位安装视频监控、入侵报警装置，做到重要部位全覆盖、无死角。校园一键式紧急报警、视频监控系统与属地公安机关、教育部门联网，实现联动管理、及时响应。</w:t>
      </w:r>
      <w:r>
        <w:rPr>
          <w:rFonts w:hint="eastAsia" w:ascii="仿宋" w:hAnsi="仿宋" w:eastAsia="仿宋" w:cs="仿宋"/>
          <w:kern w:val="2"/>
          <w:sz w:val="32"/>
          <w:lang w:val="en-US" w:eastAsia="zh-CN" w:bidi="ar-SA"/>
        </w:rPr>
        <w:t>2022</w:t>
      </w:r>
      <w:r>
        <w:rPr>
          <w:rFonts w:ascii="Calibri" w:hAnsi="Calibri" w:eastAsia="仿宋_GB2312" w:cs="Times New Roman"/>
          <w:kern w:val="2"/>
          <w:sz w:val="32"/>
          <w:lang w:val="en-US" w:eastAsia="zh-CN" w:bidi="ar-SA"/>
        </w:rPr>
        <w:t>年底前校园一键式紧急报警、视频监控系统达标率达到</w:t>
      </w:r>
      <w:r>
        <w:rPr>
          <w:rFonts w:hint="eastAsia" w:ascii="仿宋" w:hAnsi="仿宋" w:eastAsia="仿宋" w:cs="仿宋"/>
          <w:kern w:val="2"/>
          <w:sz w:val="32"/>
          <w:lang w:val="en-US" w:eastAsia="zh-CN" w:bidi="ar-SA"/>
        </w:rPr>
        <w:t>100%</w:t>
      </w:r>
      <w:r>
        <w:rPr>
          <w:rFonts w:ascii="Calibri" w:hAnsi="Calibri" w:eastAsia="仿宋_GB2312" w:cs="Times New Roman"/>
          <w:kern w:val="2"/>
          <w:sz w:val="32"/>
          <w:lang w:val="en-US" w:eastAsia="zh-CN" w:bidi="ar-SA"/>
        </w:rPr>
        <w:t>。</w:t>
      </w:r>
    </w:p>
    <w:p>
      <w:pPr>
        <w:widowControl/>
        <w:spacing w:beforeLines="0" w:afterLines="0" w:line="600" w:lineRule="exact"/>
        <w:ind w:firstLine="640" w:firstLineChars="200"/>
        <w:rPr>
          <w:rFonts w:hint="eastAsia" w:ascii="楷体_GB2312" w:hAnsi="仿宋" w:eastAsia="楷体_GB2312"/>
          <w:sz w:val="32"/>
          <w:szCs w:val="24"/>
        </w:rPr>
      </w:pPr>
      <w:r>
        <w:rPr>
          <w:rFonts w:hint="eastAsia" w:ascii="楷体_GB2312" w:hAnsi="仿宋" w:eastAsia="楷体_GB2312"/>
          <w:sz w:val="32"/>
          <w:szCs w:val="24"/>
        </w:rPr>
        <w:t>（三）绩效指标完成情况分析</w:t>
      </w:r>
    </w:p>
    <w:p>
      <w:pPr>
        <w:spacing w:after="0" w:line="580" w:lineRule="exact"/>
        <w:ind w:firstLine="640" w:firstLineChars="200"/>
        <w:jc w:val="both"/>
        <w:rPr>
          <w:rFonts w:hint="default" w:ascii="仿宋" w:hAnsi="仿宋" w:eastAsia="仿宋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1.经济性：项目在市教育局党组的领导下，按照年初预算，根据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《市教育局专项资金管理办法》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，全部安排到校用于支付市直各学校安保人员工资。</w:t>
      </w:r>
    </w:p>
    <w:p>
      <w:pPr>
        <w:spacing w:after="0" w:line="580" w:lineRule="exact"/>
        <w:ind w:firstLine="640" w:firstLineChars="200"/>
        <w:jc w:val="both"/>
        <w:rPr>
          <w:rFonts w:hint="default" w:ascii="仿宋" w:hAnsi="仿宋" w:eastAsia="仿宋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2.效率性：资金按时到位，保障了项目的实施。</w:t>
      </w:r>
    </w:p>
    <w:p>
      <w:pPr>
        <w:spacing w:after="0" w:line="580" w:lineRule="exact"/>
        <w:ind w:firstLine="640" w:firstLineChars="200"/>
        <w:jc w:val="both"/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3.有效性：项目的实施有效促使市直各学校完善安保工作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。</w:t>
      </w:r>
    </w:p>
    <w:p>
      <w:pPr>
        <w:spacing w:after="0" w:line="580" w:lineRule="exact"/>
        <w:ind w:firstLine="640" w:firstLineChars="200"/>
        <w:jc w:val="both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4.可持续性：项目将纳入财政长期预算。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600" w:lineRule="exact"/>
        <w:ind w:firstLine="640" w:firstLineChars="200"/>
        <w:rPr>
          <w:rFonts w:hint="eastAsia" w:ascii="黑体" w:hAnsi="黑体" w:eastAsia="黑体"/>
          <w:sz w:val="32"/>
          <w:szCs w:val="24"/>
        </w:rPr>
      </w:pPr>
      <w:r>
        <w:rPr>
          <w:rFonts w:hint="eastAsia" w:ascii="黑体" w:hAnsi="黑体" w:eastAsia="黑体"/>
          <w:sz w:val="32"/>
          <w:szCs w:val="24"/>
          <w:lang w:val="en-US" w:eastAsia="zh-CN"/>
        </w:rPr>
        <w:t>六、</w:t>
      </w:r>
      <w:r>
        <w:rPr>
          <w:rFonts w:hint="eastAsia" w:ascii="黑体" w:hAnsi="黑体" w:eastAsia="黑体"/>
          <w:sz w:val="32"/>
          <w:szCs w:val="24"/>
        </w:rPr>
        <w:t>存在的问题和改进措施</w:t>
      </w:r>
    </w:p>
    <w:p>
      <w:pPr>
        <w:adjustRightInd w:val="0"/>
        <w:snapToGrid w:val="0"/>
        <w:spacing w:beforeLines="0" w:afterLines="0" w:line="600" w:lineRule="exact"/>
        <w:ind w:firstLine="640" w:firstLineChars="200"/>
        <w:rPr>
          <w:rFonts w:hint="eastAsia" w:ascii="仿宋_GB2312" w:hAnsi="仿宋"/>
          <w:sz w:val="32"/>
          <w:szCs w:val="24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项目资金严重不足，财政应加大投入，同时保证专项专款专用</w:t>
      </w:r>
      <w:r>
        <w:rPr>
          <w:rFonts w:hint="eastAsia" w:ascii="仿宋_GB2312" w:hAnsi="仿宋"/>
          <w:sz w:val="32"/>
          <w:szCs w:val="24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600" w:lineRule="exact"/>
        <w:ind w:firstLine="640" w:firstLineChars="200"/>
        <w:rPr>
          <w:rFonts w:hint="eastAsia" w:ascii="黑体" w:hAnsi="黑体" w:eastAsia="黑体"/>
          <w:sz w:val="32"/>
          <w:szCs w:val="24"/>
        </w:rPr>
      </w:pPr>
      <w:r>
        <w:rPr>
          <w:rFonts w:hint="eastAsia" w:ascii="黑体" w:hAnsi="黑体" w:eastAsia="黑体"/>
          <w:sz w:val="32"/>
          <w:szCs w:val="24"/>
          <w:lang w:val="en-US" w:eastAsia="zh-CN"/>
        </w:rPr>
        <w:t>七、</w:t>
      </w:r>
      <w:r>
        <w:rPr>
          <w:rFonts w:hint="eastAsia" w:ascii="黑体" w:hAnsi="黑体" w:eastAsia="黑体"/>
          <w:sz w:val="32"/>
          <w:szCs w:val="24"/>
        </w:rPr>
        <w:t>绩效自评结果拟应用和公开情况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1.针对</w:t>
      </w:r>
      <w:r>
        <w:rPr>
          <w:rFonts w:hint="eastAsia" w:ascii="仿宋" w:hAnsi="仿宋" w:eastAsia="仿宋" w:cs="仿宋"/>
          <w:sz w:val="32"/>
          <w:szCs w:val="32"/>
        </w:rPr>
        <w:t>绩效自评中发现的问题制定切实可行的整改措施并落实到位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topLinePunct/>
        <w:ind w:firstLine="62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自评结果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将</w:t>
      </w:r>
      <w:r>
        <w:rPr>
          <w:rFonts w:hint="eastAsia" w:ascii="仿宋" w:hAnsi="仿宋" w:eastAsia="仿宋" w:cs="仿宋"/>
          <w:sz w:val="32"/>
          <w:szCs w:val="32"/>
        </w:rPr>
        <w:t>应用到下一年度的资金安排和项目立项。</w:t>
      </w:r>
    </w:p>
    <w:p>
      <w:pPr>
        <w:topLinePunct/>
        <w:ind w:firstLine="62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3.绩效自评报告在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益阳教育网公开，接受广大群众监督。</w:t>
      </w:r>
    </w:p>
    <w:p>
      <w:pPr>
        <w:topLinePunct/>
        <w:ind w:firstLine="62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</w:t>
      </w:r>
    </w:p>
    <w:p>
      <w:pPr>
        <w:topLinePunct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附件：项目支出绩效自评表</w:t>
      </w:r>
    </w:p>
    <w:p>
      <w:pPr>
        <w:topLinePunct/>
        <w:ind w:firstLine="62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topLinePunct/>
        <w:ind w:firstLine="62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topLinePunct/>
        <w:ind w:firstLine="62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topLinePunct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topLinePunct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topLinePunct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topLinePunct/>
        <w:rPr>
          <w:rFonts w:hint="eastAsia" w:ascii="仿宋" w:hAnsi="仿宋" w:eastAsia="仿宋" w:cs="仿宋"/>
          <w:sz w:val="32"/>
          <w:szCs w:val="32"/>
          <w:lang w:eastAsia="zh-CN"/>
        </w:rPr>
      </w:pPr>
    </w:p>
    <w:p/>
    <w:p>
      <w:pPr>
        <w:spacing w:line="600" w:lineRule="exact"/>
        <w:jc w:val="center"/>
        <w:rPr>
          <w:rFonts w:hint="eastAsia" w:ascii="方正大标宋简体" w:hAnsi="方正大标宋简体" w:eastAsia="方正大标宋简体" w:cs="方正大标宋简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大标宋简体" w:hAnsi="方正大标宋简体" w:eastAsia="方正大标宋简体" w:cs="方正大标宋简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大标宋简体" w:hAnsi="方正大标宋简体" w:eastAsia="方正大标宋简体" w:cs="方正大标宋简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大标宋简体" w:hAnsi="方正大标宋简体" w:eastAsia="方正大标宋简体" w:cs="方正大标宋简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kern w:val="0"/>
          <w:sz w:val="32"/>
          <w:szCs w:val="32"/>
        </w:rPr>
        <w:t>202</w:t>
      </w:r>
      <w:r>
        <w:rPr>
          <w:rFonts w:hint="eastAsia" w:ascii="方正大标宋简体" w:hAnsi="方正大标宋简体" w:eastAsia="方正大标宋简体" w:cs="方正大标宋简体"/>
          <w:kern w:val="0"/>
          <w:sz w:val="32"/>
          <w:szCs w:val="32"/>
          <w:lang w:val="en-US" w:eastAsia="zh-CN"/>
        </w:rPr>
        <w:t>1</w:t>
      </w:r>
      <w:r>
        <w:rPr>
          <w:rFonts w:hint="eastAsia" w:ascii="方正大标宋简体" w:hAnsi="方正大标宋简体" w:eastAsia="方正大标宋简体" w:cs="方正大标宋简体"/>
          <w:kern w:val="0"/>
          <w:sz w:val="32"/>
          <w:szCs w:val="32"/>
        </w:rPr>
        <w:t>年度项目支出绩效自评表</w:t>
      </w:r>
    </w:p>
    <w:tbl>
      <w:tblPr>
        <w:tblStyle w:val="3"/>
        <w:tblW w:w="960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093"/>
        <w:gridCol w:w="1107"/>
        <w:gridCol w:w="1426"/>
        <w:gridCol w:w="1134"/>
        <w:gridCol w:w="1106"/>
        <w:gridCol w:w="800"/>
        <w:gridCol w:w="854"/>
        <w:gridCol w:w="11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86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中小学幼儿园安全保障经费（三防）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益阳市教育局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益阳师范学校、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益阳市特殊教育学校、市一中、中心幼儿园、特技校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项目资金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全年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执行数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分值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执行率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年度资金总额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  <w:t>152万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  <w:t>152万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56万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>36.8%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其中：当年财政拨款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  <w:t>152万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  <w:t>152万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56万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>36.8%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上年结转资金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38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中小学、城市幼儿园保安配备率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、城市幼儿园封闭管理、城市幼儿园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一键式紧急报警、视频监控系统与属地公安机关联网率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均达到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100%。</w:t>
            </w:r>
          </w:p>
        </w:tc>
        <w:tc>
          <w:tcPr>
            <w:tcW w:w="38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已完成预计目标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(50分)</w:t>
            </w:r>
          </w:p>
        </w:tc>
        <w:tc>
          <w:tcPr>
            <w:tcW w:w="110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学校值班警务室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  <w:t>5间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5间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保安需求量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38人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38人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建有封闭式围墙的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学校数量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改缮学校数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1所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质量指标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中小学封闭化管理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基本达标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基本达标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一键式紧急报警及视频监控系统与属地公安机关联网率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基本达标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基本达标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城市中小学专职保安员配备率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预算资金执行率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36.8%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因资金下达晚尚未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全部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成本控制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≤152万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56万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因资金下达晚尚未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全部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eastAsia="zh-CN"/>
              </w:rPr>
              <w:t>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保安年工资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6万/人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6万/人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效益指标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（30分）</w:t>
            </w:r>
          </w:p>
        </w:tc>
        <w:tc>
          <w:tcPr>
            <w:tcW w:w="110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经济效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学生合格率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学校综合治安水平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治安水平得到提升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提升治安水平加强安保力量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社会效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提升教学质量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办学效益提升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办学效益提升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学生人身安全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安全得到保障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安全得到保障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生态效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所有开支匀环保无公害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不对生态产生负面影响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未对生态产生负面影响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0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满意度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教育事业健康发展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促进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促进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家长学生满意度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≥90%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  <w:t>92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rPr>
          <w:rFonts w:hint="eastAsia" w:eastAsia="仿宋_GB2312"/>
          <w:lang w:eastAsia="zh-CN"/>
        </w:rPr>
      </w:pPr>
      <w:r>
        <w:rPr>
          <w:rFonts w:ascii="Times New Roman" w:hAnsi="Times New Roman" w:eastAsia="仿宋_GB2312" w:cs="Times New Roman"/>
          <w:kern w:val="0"/>
          <w:sz w:val="21"/>
          <w:szCs w:val="21"/>
        </w:rPr>
        <w:t>填表人：</w:t>
      </w:r>
      <w:r>
        <w:rPr>
          <w:rFonts w:hint="eastAsia" w:ascii="Times New Roman" w:hAnsi="Times New Roman" w:cs="Times New Roman"/>
          <w:kern w:val="0"/>
          <w:sz w:val="21"/>
          <w:szCs w:val="21"/>
          <w:lang w:eastAsia="zh-CN"/>
        </w:rPr>
        <w:t>文达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kern w:val="0"/>
          <w:sz w:val="21"/>
          <w:szCs w:val="21"/>
        </w:rPr>
        <w:t xml:space="preserve"> 填报日期：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 xml:space="preserve">2022年4月22日   </w:t>
      </w:r>
      <w:r>
        <w:rPr>
          <w:rFonts w:ascii="Times New Roman" w:hAnsi="Times New Roman" w:eastAsia="仿宋_GB2312" w:cs="Times New Roman"/>
          <w:kern w:val="0"/>
          <w:sz w:val="21"/>
          <w:szCs w:val="21"/>
        </w:rPr>
        <w:t>电话：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0737-4222501</w:t>
      </w:r>
      <w:r>
        <w:rPr>
          <w:rFonts w:ascii="Times New Roman" w:hAnsi="Times New Roman" w:eastAsia="仿宋_GB2312" w:cs="Times New Roman"/>
          <w:kern w:val="0"/>
          <w:sz w:val="21"/>
          <w:szCs w:val="21"/>
        </w:rPr>
        <w:t xml:space="preserve"> 单位负责人签字：</w:t>
      </w:r>
    </w:p>
    <w:p>
      <w:pPr>
        <w:jc w:val="both"/>
        <w:rPr>
          <w:rFonts w:hint="eastAsia" w:ascii="仿宋_GB2312" w:hAnsi="仿宋"/>
          <w:sz w:val="28"/>
          <w:szCs w:val="28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 w:ascii="仿宋_GB2312" w:hAnsi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CD6D0D"/>
    <w:multiLevelType w:val="singleLevel"/>
    <w:tmpl w:val="F6CD6D0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1ZGUzMTVmMWQzNTY3YTMwMmVmZTJkNjAyNTgyYjIifQ=="/>
  </w:docVars>
  <w:rsids>
    <w:rsidRoot w:val="00000000"/>
    <w:rsid w:val="0A4E6D39"/>
    <w:rsid w:val="13566A30"/>
    <w:rsid w:val="17C032CA"/>
    <w:rsid w:val="1C6322BB"/>
    <w:rsid w:val="27242715"/>
    <w:rsid w:val="2C390204"/>
    <w:rsid w:val="2CEA3412"/>
    <w:rsid w:val="2D094081"/>
    <w:rsid w:val="2D97686A"/>
    <w:rsid w:val="2E956D96"/>
    <w:rsid w:val="40A13323"/>
    <w:rsid w:val="47287576"/>
    <w:rsid w:val="4806667B"/>
    <w:rsid w:val="48382C30"/>
    <w:rsid w:val="4A39176F"/>
    <w:rsid w:val="4EA330F5"/>
    <w:rsid w:val="55244AC9"/>
    <w:rsid w:val="58BC1B49"/>
    <w:rsid w:val="5F2C0AE8"/>
    <w:rsid w:val="660F2CAF"/>
    <w:rsid w:val="683D5532"/>
    <w:rsid w:val="692C64DE"/>
    <w:rsid w:val="6BA46EDE"/>
    <w:rsid w:val="75026CA6"/>
    <w:rsid w:val="7616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4088</Words>
  <Characters>4235</Characters>
  <Lines>0</Lines>
  <Paragraphs>0</Paragraphs>
  <TotalTime>0</TotalTime>
  <ScaleCrop>false</ScaleCrop>
  <LinksUpToDate>false</LinksUpToDate>
  <CharactersWithSpaces>4295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2022-04-23T01:54:00Z</dcterms:created>
  <dc:creator>Administrator</dc:creator>
  <cp:lastModifiedBy>文达</cp:lastModifiedBy>
  <dcterms:modified xsi:type="dcterms:W3CDTF">2022-04-26T01:34:15Z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D64952FE2E2D4A01AE5DBADAD2D96AB6</vt:lpwstr>
  </property>
</Properties>
</file>